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87" w:rsidRPr="00F4508B" w:rsidRDefault="00A75787" w:rsidP="00622914">
      <w:pPr>
        <w:jc w:val="center"/>
        <w:rPr>
          <w:b/>
        </w:rPr>
      </w:pPr>
      <w:r w:rsidRPr="00F4508B">
        <w:rPr>
          <w:b/>
        </w:rPr>
        <w:t>ELŐTERJESZTÉS</w:t>
      </w:r>
    </w:p>
    <w:p w:rsidR="00A75787" w:rsidRPr="00F4508B" w:rsidRDefault="00A75787" w:rsidP="00622914">
      <w:pPr>
        <w:jc w:val="center"/>
        <w:rPr>
          <w:b/>
        </w:rPr>
      </w:pPr>
    </w:p>
    <w:p w:rsidR="00A75787" w:rsidRPr="00F4508B" w:rsidRDefault="00A75787" w:rsidP="00622914">
      <w:pPr>
        <w:jc w:val="center"/>
      </w:pPr>
      <w:r w:rsidRPr="00F4508B">
        <w:t>Bonyhád Város Képviselő - testületének 2</w:t>
      </w:r>
      <w:r w:rsidR="00F4508B" w:rsidRPr="00F4508B">
        <w:t>020</w:t>
      </w:r>
      <w:r w:rsidRPr="00F4508B">
        <w:t xml:space="preserve">. </w:t>
      </w:r>
      <w:r w:rsidR="00F4508B" w:rsidRPr="00F4508B">
        <w:t>június</w:t>
      </w:r>
      <w:r w:rsidR="002579F3" w:rsidRPr="00F4508B">
        <w:t xml:space="preserve"> </w:t>
      </w:r>
      <w:r w:rsidRPr="00F4508B">
        <w:t xml:space="preserve">hó </w:t>
      </w:r>
      <w:r w:rsidR="002579F3" w:rsidRPr="00F4508B">
        <w:t>2</w:t>
      </w:r>
      <w:r w:rsidR="00F4508B" w:rsidRPr="00F4508B">
        <w:t>5</w:t>
      </w:r>
      <w:r w:rsidRPr="00F4508B">
        <w:t>. nap</w:t>
      </w:r>
    </w:p>
    <w:p w:rsidR="00A75787" w:rsidRPr="00F4508B" w:rsidRDefault="00A75787" w:rsidP="00622914">
      <w:pPr>
        <w:jc w:val="center"/>
      </w:pPr>
      <w:proofErr w:type="gramStart"/>
      <w:r w:rsidRPr="00F4508B">
        <w:rPr>
          <w:u w:val="single"/>
        </w:rPr>
        <w:t>rendes</w:t>
      </w:r>
      <w:proofErr w:type="gramEnd"/>
      <w:r w:rsidRPr="00F4508B">
        <w:t>/rendkívüli testületi ülésére</w:t>
      </w:r>
    </w:p>
    <w:p w:rsidR="00A75787" w:rsidRPr="00F4508B" w:rsidRDefault="00A75787" w:rsidP="006229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4606"/>
      </w:tblGrid>
      <w:tr w:rsidR="00A75787" w:rsidRPr="00F4508B" w:rsidTr="00D22D58"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Tárgy:</w:t>
            </w:r>
          </w:p>
        </w:tc>
        <w:tc>
          <w:tcPr>
            <w:tcW w:w="4606" w:type="dxa"/>
          </w:tcPr>
          <w:p w:rsidR="00A75787" w:rsidRPr="00F4508B" w:rsidRDefault="00BA6303" w:rsidP="003974F2">
            <w:r w:rsidRPr="00F4508B">
              <w:rPr>
                <w:rFonts w:eastAsia="Calibri"/>
                <w:lang w:eastAsia="en-US"/>
              </w:rPr>
              <w:t>A Völgységi Önkormányzatok Társulása 201</w:t>
            </w:r>
            <w:r w:rsidR="00F4508B" w:rsidRPr="00F4508B">
              <w:rPr>
                <w:rFonts w:eastAsia="Calibri"/>
                <w:lang w:eastAsia="en-US"/>
              </w:rPr>
              <w:t>9</w:t>
            </w:r>
            <w:r w:rsidRPr="00F4508B">
              <w:rPr>
                <w:rFonts w:eastAsia="Calibri"/>
                <w:lang w:eastAsia="en-US"/>
              </w:rPr>
              <w:t>. évi költségvetésének végrehajtásának jóváhagyása</w:t>
            </w:r>
          </w:p>
        </w:tc>
      </w:tr>
      <w:tr w:rsidR="00A75787" w:rsidRPr="00F4508B" w:rsidTr="00D22D58"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Előterjesztő:</w:t>
            </w:r>
          </w:p>
        </w:tc>
        <w:tc>
          <w:tcPr>
            <w:tcW w:w="4606" w:type="dxa"/>
          </w:tcPr>
          <w:p w:rsidR="00A75787" w:rsidRPr="00F4508B" w:rsidRDefault="00A51DE3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Filóné Ferencz Ibolya polgármester</w:t>
            </w:r>
          </w:p>
        </w:tc>
      </w:tr>
      <w:tr w:rsidR="00A75787" w:rsidRPr="00F4508B" w:rsidTr="00D22D58"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Előterjesztést készítette:</w:t>
            </w:r>
          </w:p>
        </w:tc>
        <w:tc>
          <w:tcPr>
            <w:tcW w:w="4606" w:type="dxa"/>
          </w:tcPr>
          <w:p w:rsidR="00A75787" w:rsidRPr="00F4508B" w:rsidRDefault="00A51DE3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Fauszt Józsefné</w:t>
            </w:r>
            <w:r w:rsidR="00901CB6" w:rsidRPr="00F4508B">
              <w:rPr>
                <w:lang w:eastAsia="en-US"/>
              </w:rPr>
              <w:t xml:space="preserve"> pénzügyi osztályvezető </w:t>
            </w:r>
          </w:p>
          <w:p w:rsidR="00A51DE3" w:rsidRPr="00F4508B" w:rsidRDefault="00A51DE3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Palkó Roland</w:t>
            </w:r>
          </w:p>
        </w:tc>
      </w:tr>
      <w:tr w:rsidR="00A75787" w:rsidRPr="00F4508B" w:rsidTr="00D22D58"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Előterjesztés száma:</w:t>
            </w:r>
          </w:p>
        </w:tc>
        <w:tc>
          <w:tcPr>
            <w:tcW w:w="4606" w:type="dxa"/>
          </w:tcPr>
          <w:p w:rsidR="00A75787" w:rsidRPr="00F4508B" w:rsidRDefault="003E1510" w:rsidP="00502A1F">
            <w:pPr>
              <w:rPr>
                <w:lang w:eastAsia="en-US"/>
              </w:rPr>
            </w:pPr>
            <w:r>
              <w:rPr>
                <w:lang w:eastAsia="en-US"/>
              </w:rPr>
              <w:t>44</w:t>
            </w:r>
            <w:r w:rsidR="00901CB6" w:rsidRPr="00F4508B">
              <w:rPr>
                <w:lang w:eastAsia="en-US"/>
              </w:rPr>
              <w:t>. sz.</w:t>
            </w:r>
          </w:p>
        </w:tc>
      </w:tr>
      <w:tr w:rsidR="00A75787" w:rsidRPr="00F4508B" w:rsidTr="00D22D58"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Előzetesen tárgyalja:</w:t>
            </w:r>
          </w:p>
        </w:tc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Pénzügyi Bizottság</w:t>
            </w:r>
          </w:p>
        </w:tc>
      </w:tr>
      <w:tr w:rsidR="00A75787" w:rsidRPr="00F4508B" w:rsidTr="00D22D58"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Melléklet:</w:t>
            </w:r>
          </w:p>
        </w:tc>
        <w:tc>
          <w:tcPr>
            <w:tcW w:w="4606" w:type="dxa"/>
          </w:tcPr>
          <w:p w:rsidR="00A75787" w:rsidRPr="00F4508B" w:rsidRDefault="002579F3" w:rsidP="00086EB0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1 db</w:t>
            </w:r>
          </w:p>
        </w:tc>
      </w:tr>
      <w:tr w:rsidR="00A75787" w:rsidRPr="00F4508B" w:rsidTr="00D22D58"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Az előterjesztés a jogszabályi feltételeknek megfelel:</w:t>
            </w:r>
          </w:p>
        </w:tc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</w:p>
          <w:p w:rsidR="00A75787" w:rsidRPr="00F4508B" w:rsidRDefault="00A75787" w:rsidP="009B3A29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Dr.</w:t>
            </w:r>
            <w:r w:rsidR="00A51DE3" w:rsidRPr="00F4508B">
              <w:rPr>
                <w:lang w:eastAsia="en-US"/>
              </w:rPr>
              <w:t xml:space="preserve"> Puskásné dr. Szeghy Petra</w:t>
            </w:r>
            <w:r w:rsidR="003E1510">
              <w:rPr>
                <w:lang w:eastAsia="en-US"/>
              </w:rPr>
              <w:t xml:space="preserve"> jegyző</w:t>
            </w:r>
          </w:p>
        </w:tc>
      </w:tr>
      <w:tr w:rsidR="00A75787" w:rsidRPr="00F4508B" w:rsidTr="00D22D58"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A döntéshez szükséges többség:</w:t>
            </w:r>
          </w:p>
        </w:tc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  <w:r w:rsidRPr="00F4508B">
              <w:rPr>
                <w:u w:val="single"/>
                <w:lang w:eastAsia="en-US"/>
              </w:rPr>
              <w:t>egyszerű</w:t>
            </w:r>
            <w:r w:rsidRPr="00F4508B">
              <w:rPr>
                <w:lang w:eastAsia="en-US"/>
              </w:rPr>
              <w:t>/minősített</w:t>
            </w:r>
          </w:p>
        </w:tc>
      </w:tr>
      <w:tr w:rsidR="00A75787" w:rsidRPr="00F4508B" w:rsidTr="00D22D58"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Döntési forma:</w:t>
            </w:r>
          </w:p>
        </w:tc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rendelet/</w:t>
            </w:r>
            <w:r w:rsidRPr="00F4508B">
              <w:rPr>
                <w:u w:val="single"/>
                <w:lang w:eastAsia="en-US"/>
              </w:rPr>
              <w:t>határozat</w:t>
            </w:r>
            <w:r w:rsidRPr="00F4508B">
              <w:rPr>
                <w:lang w:eastAsia="en-US"/>
              </w:rPr>
              <w:t xml:space="preserve"> (normatív, hatósági, egyéb)</w:t>
            </w:r>
          </w:p>
        </w:tc>
      </w:tr>
      <w:tr w:rsidR="00A75787" w:rsidRPr="00F4508B" w:rsidTr="00D22D58"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 xml:space="preserve">Az előterjesztést </w:t>
            </w:r>
          </w:p>
        </w:tc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  <w:r w:rsidRPr="00F4508B">
              <w:rPr>
                <w:u w:val="single"/>
                <w:lang w:eastAsia="en-US"/>
              </w:rPr>
              <w:t>nyílt ülésen</w:t>
            </w:r>
            <w:r w:rsidRPr="00F4508B">
              <w:rPr>
                <w:lang w:eastAsia="en-US"/>
              </w:rPr>
              <w:t xml:space="preserve"> kell/zárt ülésen kell/zárt ülésen lehet tárgyalni</w:t>
            </w:r>
          </w:p>
        </w:tc>
      </w:tr>
      <w:tr w:rsidR="00A75787" w:rsidRPr="00F4508B" w:rsidTr="00D22D58"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Véleményezésre megkapta:</w:t>
            </w:r>
          </w:p>
        </w:tc>
        <w:tc>
          <w:tcPr>
            <w:tcW w:w="4606" w:type="dxa"/>
          </w:tcPr>
          <w:p w:rsidR="00A75787" w:rsidRPr="00F4508B" w:rsidRDefault="00A75787" w:rsidP="00D22D58">
            <w:pPr>
              <w:rPr>
                <w:lang w:eastAsia="en-US"/>
              </w:rPr>
            </w:pPr>
          </w:p>
          <w:p w:rsidR="00A75787" w:rsidRPr="00F4508B" w:rsidRDefault="00A75787" w:rsidP="00D22D58">
            <w:pPr>
              <w:rPr>
                <w:lang w:eastAsia="en-US"/>
              </w:rPr>
            </w:pPr>
            <w:r w:rsidRPr="00F4508B">
              <w:rPr>
                <w:lang w:eastAsia="en-US"/>
              </w:rPr>
              <w:t>Filóné Ferencz Ibolya polgármester</w:t>
            </w:r>
          </w:p>
        </w:tc>
      </w:tr>
    </w:tbl>
    <w:p w:rsidR="00A75787" w:rsidRPr="00F4508B" w:rsidRDefault="00A75787" w:rsidP="00622914"/>
    <w:p w:rsidR="00A75787" w:rsidRPr="00FD73B5" w:rsidRDefault="00A75787" w:rsidP="00622914">
      <w:pPr>
        <w:jc w:val="both"/>
        <w:rPr>
          <w:b/>
          <w:bCs/>
        </w:rPr>
      </w:pPr>
      <w:r w:rsidRPr="00FD73B5">
        <w:rPr>
          <w:b/>
          <w:bCs/>
        </w:rPr>
        <w:t>Tisztelt Képviselő-testület!</w:t>
      </w:r>
    </w:p>
    <w:p w:rsidR="00A51DE3" w:rsidRDefault="00A51DE3" w:rsidP="00A51DE3">
      <w:pPr>
        <w:widowControl/>
        <w:spacing w:line="276" w:lineRule="auto"/>
        <w:rPr>
          <w:rFonts w:eastAsia="Calibri"/>
          <w:b/>
          <w:lang w:eastAsia="ar-SA"/>
        </w:rPr>
      </w:pPr>
    </w:p>
    <w:p w:rsidR="00D57664" w:rsidRDefault="00D57664" w:rsidP="00A51DE3">
      <w:pPr>
        <w:widowControl/>
        <w:spacing w:line="276" w:lineRule="auto"/>
        <w:rPr>
          <w:rFonts w:eastAsia="Calibri"/>
          <w:bCs/>
          <w:lang w:eastAsia="ar-SA"/>
        </w:rPr>
      </w:pPr>
      <w:r w:rsidRPr="00D57664">
        <w:rPr>
          <w:rFonts w:eastAsia="Calibri"/>
          <w:bCs/>
          <w:lang w:eastAsia="ar-SA"/>
        </w:rPr>
        <w:t>Bonyhád Város Önkormányzata tagja a Völgyséfi Önkormányzatok Társulásának, melynek 2019. évre vonatkozó zárszámadását az alábbiakban ismertetjük.</w:t>
      </w:r>
    </w:p>
    <w:p w:rsidR="00D57664" w:rsidRPr="00D57664" w:rsidRDefault="00D57664" w:rsidP="00A51DE3">
      <w:pPr>
        <w:widowControl/>
        <w:spacing w:line="276" w:lineRule="auto"/>
        <w:rPr>
          <w:rFonts w:eastAsia="Calibri"/>
          <w:bCs/>
          <w:lang w:eastAsia="ar-SA"/>
        </w:rPr>
      </w:pPr>
    </w:p>
    <w:p w:rsidR="00F4508B" w:rsidRPr="00F4508B" w:rsidRDefault="00F4508B" w:rsidP="00F4508B">
      <w:pPr>
        <w:jc w:val="both"/>
      </w:pPr>
      <w:r w:rsidRPr="00F4508B">
        <w:t xml:space="preserve">Az államháztartásról szóló 2011. évi CXCV. törvény 91. § (1)-(3) bekezdésében foglalt kötelezettség alapján terjesztem elő a Völgységi Önkormányzatok Társulása (továbbiakban: Társulás) 2019. évi költségvetésének végrehajtására vonatkozó beszámolót. </w:t>
      </w:r>
    </w:p>
    <w:p w:rsidR="00F4508B" w:rsidRPr="00F4508B" w:rsidRDefault="00F4508B" w:rsidP="00F4508B">
      <w:pPr>
        <w:jc w:val="both"/>
      </w:pPr>
      <w:r w:rsidRPr="00F4508B">
        <w:t xml:space="preserve">A Társulás a 2019. évi gazdálkodásról szóló, részletes költségvetési beszámolót elkészítette, azt a Magyar Államkincstárhoz határidőre megküldte, ennek adatai alapján állítottuk össze jelen beszámolót. </w:t>
      </w:r>
    </w:p>
    <w:p w:rsidR="00F4508B" w:rsidRPr="00F4508B" w:rsidRDefault="00F4508B" w:rsidP="00A51DE3">
      <w:pPr>
        <w:widowControl/>
        <w:spacing w:line="276" w:lineRule="auto"/>
        <w:jc w:val="both"/>
        <w:rPr>
          <w:rFonts w:eastAsia="Calibri"/>
          <w:lang w:eastAsia="ar-SA"/>
        </w:rPr>
      </w:pPr>
    </w:p>
    <w:p w:rsidR="00F4508B" w:rsidRPr="00F4508B" w:rsidRDefault="00F4508B" w:rsidP="00F4508B">
      <w:pPr>
        <w:jc w:val="both"/>
      </w:pPr>
      <w:r w:rsidRPr="00F4508B">
        <w:t>A Völgységi Önkormányzatok Társulása Társulási Tanácsa (továbbiakban: Társulási Tanács) a Társulás 2019. évi költségvetését a 7/2019. (II.15.) határozattal fogadta el, melyet az év során az alábbi határozatokkal módosított:</w:t>
      </w:r>
    </w:p>
    <w:p w:rsidR="00F4508B" w:rsidRPr="00F4508B" w:rsidRDefault="00F4508B" w:rsidP="00F4508B">
      <w:pPr>
        <w:jc w:val="both"/>
      </w:pPr>
      <w:r w:rsidRPr="00F4508B">
        <w:t xml:space="preserve">- a 14/2019. (IX.27.) </w:t>
      </w:r>
      <w:proofErr w:type="spellStart"/>
      <w:r w:rsidRPr="00F4508B">
        <w:t>VÖTth</w:t>
      </w:r>
      <w:proofErr w:type="spellEnd"/>
      <w:r w:rsidRPr="00F4508B">
        <w:t xml:space="preserve">. határozatban a saját hatáskörben végrehajtott előirányzatok költségvetési határozaton való átvezetése mellett a szociális hozzájárulási adó csökkenése miatti zárolásra, bértámogatás átvezetésére került sor. </w:t>
      </w:r>
    </w:p>
    <w:p w:rsidR="00F4508B" w:rsidRPr="00F4508B" w:rsidRDefault="00F4508B" w:rsidP="00F4508B">
      <w:pPr>
        <w:tabs>
          <w:tab w:val="left" w:pos="7680"/>
        </w:tabs>
        <w:jc w:val="both"/>
        <w:rPr>
          <w:highlight w:val="yellow"/>
        </w:rPr>
      </w:pPr>
      <w:r w:rsidRPr="00F4508B">
        <w:t xml:space="preserve">- a 26/2019. (XII.17.) </w:t>
      </w:r>
      <w:proofErr w:type="spellStart"/>
      <w:r w:rsidRPr="00F4508B">
        <w:t>VÖTth</w:t>
      </w:r>
      <w:proofErr w:type="spellEnd"/>
      <w:proofErr w:type="gramStart"/>
      <w:r w:rsidRPr="00F4508B">
        <w:t>.  határozatban</w:t>
      </w:r>
      <w:proofErr w:type="gramEnd"/>
      <w:r w:rsidRPr="00F4508B">
        <w:t xml:space="preserve"> a saját hatáskörben végrehajtott módosítások költségvetési határozaton való átvezetésére, a személyi juttatások várható maradványának zárolására, a vásárolt élelmezés és az azzal  összefüggésben álló működési bevételek előirányzatainak rendezésére került sor. </w:t>
      </w:r>
    </w:p>
    <w:p w:rsidR="00F4508B" w:rsidRPr="00F4508B" w:rsidRDefault="00F4508B" w:rsidP="00F4508B">
      <w:pPr>
        <w:tabs>
          <w:tab w:val="left" w:pos="7680"/>
        </w:tabs>
        <w:jc w:val="both"/>
        <w:rPr>
          <w:highlight w:val="yellow"/>
        </w:rPr>
      </w:pPr>
    </w:p>
    <w:p w:rsidR="00F4508B" w:rsidRPr="00F4508B" w:rsidRDefault="00F4508B" w:rsidP="00F4508B">
      <w:pPr>
        <w:tabs>
          <w:tab w:val="left" w:pos="7680"/>
        </w:tabs>
        <w:jc w:val="both"/>
        <w:rPr>
          <w:highlight w:val="yellow"/>
        </w:rPr>
      </w:pPr>
    </w:p>
    <w:p w:rsidR="00F4508B" w:rsidRPr="00F4508B" w:rsidRDefault="00F4508B" w:rsidP="00F4508B">
      <w:pPr>
        <w:tabs>
          <w:tab w:val="left" w:pos="7680"/>
        </w:tabs>
        <w:jc w:val="both"/>
      </w:pPr>
      <w:r w:rsidRPr="00F4508B">
        <w:t xml:space="preserve">További módosításként a szakképzési hozzájárulás, valamint a jármű értékesítési bevétele terhére új gépjármű beszerzéséhez szükséges keretet is jóváhagyott a Társulási Tanács. </w:t>
      </w:r>
    </w:p>
    <w:p w:rsidR="00A51DE3" w:rsidRPr="00F4508B" w:rsidRDefault="00A51DE3" w:rsidP="00A51DE3">
      <w:pPr>
        <w:widowControl/>
        <w:spacing w:line="276" w:lineRule="auto"/>
        <w:jc w:val="both"/>
        <w:rPr>
          <w:rFonts w:eastAsia="Calibri"/>
          <w:lang w:eastAsia="ar-SA"/>
        </w:rPr>
      </w:pPr>
    </w:p>
    <w:p w:rsidR="00F4508B" w:rsidRPr="00F4508B" w:rsidRDefault="00F4508B" w:rsidP="00F4508B">
      <w:pPr>
        <w:rPr>
          <w:b/>
        </w:rPr>
      </w:pPr>
      <w:r w:rsidRPr="00F4508B">
        <w:rPr>
          <w:b/>
        </w:rPr>
        <w:t>1. A költségvetési előirányzatok teljesítése</w:t>
      </w:r>
    </w:p>
    <w:p w:rsidR="00F4508B" w:rsidRPr="00F4508B" w:rsidRDefault="00F4508B" w:rsidP="00F4508B"/>
    <w:p w:rsidR="00F4508B" w:rsidRPr="00F4508B" w:rsidRDefault="00F4508B" w:rsidP="00F4508B">
      <w:pPr>
        <w:jc w:val="both"/>
      </w:pPr>
      <w:r w:rsidRPr="00F4508B">
        <w:t>A költségvetés a Társulás, valamint az általa fenntartott Bonyhádi Gondozási Központ (továbbiakban: intézmény) költségvetési előirányzatait foglalja magába, amelynek eredeti előirányzata 289.665.227.- Ft volt, mely a módosításokat követően 328.397.355.- Ft-ra változott.</w:t>
      </w:r>
    </w:p>
    <w:p w:rsidR="00F4508B" w:rsidRPr="00F4508B" w:rsidRDefault="00F4508B" w:rsidP="00F4508B">
      <w:pPr>
        <w:jc w:val="both"/>
      </w:pPr>
      <w:r w:rsidRPr="00F4508B">
        <w:t xml:space="preserve">A teljesített bevételek összege 328.813.881.- Ft, amely a módosított előirányzathoz viszonyítva 100,13 %-os teljesítésnek felel meg. </w:t>
      </w:r>
    </w:p>
    <w:p w:rsidR="00F4508B" w:rsidRPr="00F4508B" w:rsidRDefault="00F4508B" w:rsidP="00F4508B">
      <w:pPr>
        <w:jc w:val="both"/>
      </w:pPr>
      <w:r w:rsidRPr="00F4508B">
        <w:t xml:space="preserve">Az év során elszámolt kiadások összege 314.912.893.- Ft, teljesítési mutatója 95,89 %. </w:t>
      </w:r>
    </w:p>
    <w:p w:rsidR="00F4508B" w:rsidRPr="00F4508B" w:rsidRDefault="00F4508B" w:rsidP="00F4508B">
      <w:pPr>
        <w:jc w:val="both"/>
      </w:pPr>
      <w:r w:rsidRPr="00F4508B">
        <w:t>A bevételek és kiadások alakulását elkülönítetten mutatjuk be a Társulásra, valamint intézményére vonatkozóan.</w:t>
      </w:r>
    </w:p>
    <w:p w:rsidR="00F4508B" w:rsidRPr="00F4508B" w:rsidRDefault="00F4508B" w:rsidP="00F4508B">
      <w:pPr>
        <w:jc w:val="both"/>
      </w:pPr>
    </w:p>
    <w:p w:rsidR="00F4508B" w:rsidRPr="00F4508B" w:rsidRDefault="00F4508B" w:rsidP="00F4508B">
      <w:pPr>
        <w:jc w:val="both"/>
        <w:rPr>
          <w:b/>
        </w:rPr>
      </w:pPr>
      <w:r w:rsidRPr="00F4508B">
        <w:rPr>
          <w:b/>
        </w:rPr>
        <w:t>1.1. Bevételi előirányzatok teljesítése</w:t>
      </w:r>
    </w:p>
    <w:p w:rsidR="00F4508B" w:rsidRPr="00F4508B" w:rsidRDefault="00F4508B" w:rsidP="00F4508B">
      <w:pPr>
        <w:jc w:val="both"/>
      </w:pPr>
    </w:p>
    <w:p w:rsidR="00F4508B" w:rsidRPr="00F4508B" w:rsidRDefault="00F4508B" w:rsidP="00F4508B">
      <w:pPr>
        <w:jc w:val="both"/>
      </w:pPr>
      <w:r w:rsidRPr="00F4508B">
        <w:t>A bevételek megoszlása a Társulás és intézménye között az alábbiak szerint alakult:</w:t>
      </w:r>
    </w:p>
    <w:p w:rsidR="00F4508B" w:rsidRPr="00F4508B" w:rsidRDefault="00F4508B" w:rsidP="00F4508B">
      <w:pPr>
        <w:jc w:val="both"/>
      </w:pPr>
    </w:p>
    <w:p w:rsidR="00F4508B" w:rsidRPr="00F4508B" w:rsidRDefault="00F4508B" w:rsidP="00F4508B">
      <w:pPr>
        <w:jc w:val="both"/>
        <w:rPr>
          <w:b/>
          <w:highlight w:val="cyan"/>
        </w:rPr>
      </w:pPr>
      <w:r w:rsidRPr="00F4508B">
        <w:rPr>
          <w:b/>
        </w:rPr>
        <w:t>A Társulás bevételei:</w:t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t>adatok Ft-ban</w:t>
      </w:r>
    </w:p>
    <w:tbl>
      <w:tblPr>
        <w:tblStyle w:val="Rcsostblzat"/>
        <w:tblW w:w="0" w:type="auto"/>
        <w:tblLook w:val="04A0"/>
      </w:tblPr>
      <w:tblGrid>
        <w:gridCol w:w="2905"/>
        <w:gridCol w:w="1833"/>
        <w:gridCol w:w="1556"/>
        <w:gridCol w:w="1556"/>
        <w:gridCol w:w="1438"/>
      </w:tblGrid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Megnevezés</w:t>
            </w:r>
          </w:p>
        </w:tc>
        <w:tc>
          <w:tcPr>
            <w:tcW w:w="18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Eredeti előirányzat</w:t>
            </w:r>
          </w:p>
        </w:tc>
        <w:tc>
          <w:tcPr>
            <w:tcW w:w="1511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Módosított előirányzat</w:t>
            </w:r>
          </w:p>
        </w:tc>
        <w:tc>
          <w:tcPr>
            <w:tcW w:w="1466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Teljesítés</w:t>
            </w:r>
          </w:p>
        </w:tc>
        <w:tc>
          <w:tcPr>
            <w:tcW w:w="1449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Teljesítés %-a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Működési célú támogatások az államháztartáson belülről</w:t>
            </w:r>
          </w:p>
        </w:tc>
        <w:tc>
          <w:tcPr>
            <w:tcW w:w="1843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153.668.000.-</w:t>
            </w:r>
          </w:p>
        </w:tc>
        <w:tc>
          <w:tcPr>
            <w:tcW w:w="1511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180.962.517.-</w:t>
            </w:r>
          </w:p>
        </w:tc>
        <w:tc>
          <w:tcPr>
            <w:tcW w:w="1466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178.087.312.-</w:t>
            </w:r>
          </w:p>
        </w:tc>
        <w:tc>
          <w:tcPr>
            <w:tcW w:w="1449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98,41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Működési bevételek</w:t>
            </w:r>
          </w:p>
        </w:tc>
        <w:tc>
          <w:tcPr>
            <w:tcW w:w="1843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61.856.000.-</w:t>
            </w:r>
          </w:p>
        </w:tc>
        <w:tc>
          <w:tcPr>
            <w:tcW w:w="1511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61.856.000.-</w:t>
            </w:r>
          </w:p>
        </w:tc>
        <w:tc>
          <w:tcPr>
            <w:tcW w:w="1466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62.327.802.-</w:t>
            </w:r>
          </w:p>
        </w:tc>
        <w:tc>
          <w:tcPr>
            <w:tcW w:w="1449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100,76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jc w:val="both"/>
            </w:pPr>
            <w:r w:rsidRPr="00F4508B">
              <w:t>Működési célú átvett pénzeszközök</w:t>
            </w:r>
          </w:p>
        </w:tc>
        <w:tc>
          <w:tcPr>
            <w:tcW w:w="1843" w:type="dxa"/>
          </w:tcPr>
          <w:p w:rsidR="00F4508B" w:rsidRPr="00F4508B" w:rsidRDefault="00F4508B" w:rsidP="000D364A">
            <w:pPr>
              <w:jc w:val="right"/>
            </w:pPr>
          </w:p>
        </w:tc>
        <w:tc>
          <w:tcPr>
            <w:tcW w:w="1511" w:type="dxa"/>
          </w:tcPr>
          <w:p w:rsidR="00F4508B" w:rsidRPr="00F4508B" w:rsidRDefault="00F4508B" w:rsidP="000D364A">
            <w:pPr>
              <w:jc w:val="right"/>
            </w:pPr>
          </w:p>
        </w:tc>
        <w:tc>
          <w:tcPr>
            <w:tcW w:w="1466" w:type="dxa"/>
          </w:tcPr>
          <w:p w:rsidR="00F4508B" w:rsidRPr="00F4508B" w:rsidRDefault="00F4508B" w:rsidP="000D364A">
            <w:pPr>
              <w:jc w:val="right"/>
            </w:pPr>
          </w:p>
        </w:tc>
        <w:tc>
          <w:tcPr>
            <w:tcW w:w="1449" w:type="dxa"/>
          </w:tcPr>
          <w:p w:rsidR="00F4508B" w:rsidRPr="00F4508B" w:rsidRDefault="00F4508B" w:rsidP="000D364A">
            <w:pPr>
              <w:jc w:val="right"/>
            </w:pP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Maradvány igénybevétele</w:t>
            </w:r>
          </w:p>
        </w:tc>
        <w:tc>
          <w:tcPr>
            <w:tcW w:w="1843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9.305.572.-</w:t>
            </w:r>
          </w:p>
        </w:tc>
        <w:tc>
          <w:tcPr>
            <w:tcW w:w="1511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9.305.572.-</w:t>
            </w:r>
          </w:p>
        </w:tc>
        <w:tc>
          <w:tcPr>
            <w:tcW w:w="1466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9.305.572.-</w:t>
            </w:r>
          </w:p>
        </w:tc>
        <w:tc>
          <w:tcPr>
            <w:tcW w:w="1449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100,0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Összesen:</w:t>
            </w:r>
          </w:p>
        </w:tc>
        <w:tc>
          <w:tcPr>
            <w:tcW w:w="1843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224.829.572.-</w:t>
            </w:r>
          </w:p>
        </w:tc>
        <w:tc>
          <w:tcPr>
            <w:tcW w:w="1511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252.124.089.-</w:t>
            </w:r>
          </w:p>
        </w:tc>
        <w:tc>
          <w:tcPr>
            <w:tcW w:w="1466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249.720.686.-</w:t>
            </w:r>
          </w:p>
        </w:tc>
        <w:tc>
          <w:tcPr>
            <w:tcW w:w="1449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99,05</w:t>
            </w:r>
          </w:p>
        </w:tc>
      </w:tr>
    </w:tbl>
    <w:p w:rsidR="00F4508B" w:rsidRPr="00F4508B" w:rsidRDefault="00F4508B" w:rsidP="00F4508B">
      <w:pPr>
        <w:jc w:val="both"/>
      </w:pPr>
    </w:p>
    <w:p w:rsidR="00F4508B" w:rsidRPr="00F4508B" w:rsidRDefault="00F4508B" w:rsidP="00F4508B">
      <w:pPr>
        <w:jc w:val="both"/>
      </w:pPr>
      <w:r w:rsidRPr="00F4508B">
        <w:t xml:space="preserve">Az államháztartáson belüli működési támogatások között került megtervezésre eredeti előirányzatként 151.151.000.- Ft összegben Bonyhád Város Önkormányzata által igényelt és a Társulás részére tovább utalt állami támogatások összege, valamint a jelzőrendszeres házi segítségnyújtáshoz támogatói okirat szerinti 2.517.000.- Ft-os összege. </w:t>
      </w:r>
    </w:p>
    <w:p w:rsidR="00F4508B" w:rsidRPr="00F4508B" w:rsidRDefault="00F4508B" w:rsidP="00F4508B">
      <w:pPr>
        <w:jc w:val="both"/>
      </w:pPr>
      <w:r w:rsidRPr="00F4508B">
        <w:t xml:space="preserve">Az előirányzat növekmény összege 29.815.517.- Ft. </w:t>
      </w:r>
    </w:p>
    <w:p w:rsidR="00F4508B" w:rsidRPr="00F4508B" w:rsidRDefault="00F4508B" w:rsidP="00F4508B">
      <w:pPr>
        <w:jc w:val="both"/>
      </w:pPr>
      <w:r w:rsidRPr="00F4508B">
        <w:t xml:space="preserve">Az eredeti előirányzatok összege megemelésre került 2018. évi elszámolásból az önkormányzatok által befizetésként elszámolandó hozzájárulás 5.254.766.-Ft-os összegével. A növekményből 28.752.751.- Ft-ot képez a bérkompenzáció és ágazati pótlék címén érkezett központi forrás. Fentiek mellett a szociális hozzájárulási adó 2019. 07.01-i, 2 %-os mértékű csökkenése következtében 1.245.000.- Ft, a bértámogatás forrása miatt 2.968.000.- Ft, míg a várható személyi juttatás maradványa miatt 2.500.000.- Ft előirányzat zárolásra került sor.  </w:t>
      </w:r>
    </w:p>
    <w:p w:rsidR="00F4508B" w:rsidRPr="00F4508B" w:rsidRDefault="00F4508B" w:rsidP="00F4508B">
      <w:pPr>
        <w:jc w:val="both"/>
      </w:pPr>
    </w:p>
    <w:p w:rsidR="00F4508B" w:rsidRPr="00F4508B" w:rsidRDefault="00F4508B" w:rsidP="00F4508B">
      <w:pPr>
        <w:tabs>
          <w:tab w:val="left" w:pos="6498"/>
        </w:tabs>
        <w:jc w:val="both"/>
      </w:pPr>
      <w:r w:rsidRPr="00F4508B">
        <w:t>A 2018. évi elszámolásból származó fizetési kötelezettségeiket az Önkormányzatok az előterjesztés készítésének időpontjáig rendezték.</w:t>
      </w:r>
    </w:p>
    <w:p w:rsidR="00F4508B" w:rsidRPr="00F4508B" w:rsidRDefault="00F4508B" w:rsidP="00F4508B">
      <w:pPr>
        <w:tabs>
          <w:tab w:val="left" w:pos="6498"/>
        </w:tabs>
        <w:jc w:val="both"/>
      </w:pPr>
      <w:r w:rsidRPr="00F4508B">
        <w:t xml:space="preserve">A bevételi csoport teljesítési mutatója 98,41 %-os mértékű. Alacsonyabb teljesítési mutató abból keletkezett, hogy Bonyhád Város Önkormányzata az érkezett központi forrást kismértékben alulteljesítve utalta át. A ki nem utalt összeg a 2019. évről szóló elszámolásban, mint Bonyhád Város Önkormányzat által fizetendő összeg feltüntetésre került.   </w:t>
      </w:r>
    </w:p>
    <w:p w:rsidR="003E1510" w:rsidRDefault="00F4508B" w:rsidP="00F4508B">
      <w:pPr>
        <w:tabs>
          <w:tab w:val="left" w:pos="6498"/>
        </w:tabs>
        <w:jc w:val="both"/>
      </w:pPr>
      <w:r w:rsidRPr="00F4508B">
        <w:tab/>
      </w:r>
    </w:p>
    <w:p w:rsidR="003E1510" w:rsidRDefault="003E1510">
      <w:pPr>
        <w:widowControl/>
        <w:suppressAutoHyphens w:val="0"/>
      </w:pPr>
      <w:r>
        <w:br w:type="page"/>
      </w:r>
    </w:p>
    <w:p w:rsidR="00F4508B" w:rsidRPr="00F4508B" w:rsidRDefault="00F4508B" w:rsidP="00F4508B">
      <w:pPr>
        <w:tabs>
          <w:tab w:val="left" w:pos="6498"/>
        </w:tabs>
        <w:jc w:val="both"/>
      </w:pPr>
    </w:p>
    <w:p w:rsidR="00F4508B" w:rsidRPr="00F4508B" w:rsidRDefault="00F4508B" w:rsidP="00F4508B">
      <w:pPr>
        <w:jc w:val="both"/>
      </w:pPr>
      <w:r w:rsidRPr="00F4508B">
        <w:t>A működési bevételek összege a tagok által befizetett hozzájárulásokból származik. (Tagok1., Tagok2., Tagok3.) E címeken együttesen 61.856.000.- Ft tervezésére került sor. A hozzájárulások összege az év során nem változott.</w:t>
      </w:r>
    </w:p>
    <w:p w:rsidR="00F4508B" w:rsidRPr="00F4508B" w:rsidRDefault="00F4508B" w:rsidP="00F4508B">
      <w:pPr>
        <w:jc w:val="both"/>
      </w:pPr>
      <w:r w:rsidRPr="00F4508B">
        <w:t>A költségvetési határozatban településenként jóváhagyott összegét valamennyi önkormányzat megfizette.</w:t>
      </w:r>
    </w:p>
    <w:p w:rsidR="00F4508B" w:rsidRPr="00F4508B" w:rsidRDefault="00F4508B" w:rsidP="00F4508B">
      <w:pPr>
        <w:jc w:val="both"/>
      </w:pPr>
      <w:r w:rsidRPr="00F4508B">
        <w:t xml:space="preserve">Egyéb bevételek esetében a tervezett összeget meghaladó bevétel keletkezett. A sátor bérbeadása a tervezetthez képest több alkalommal </w:t>
      </w:r>
      <w:proofErr w:type="gramStart"/>
      <w:r w:rsidRPr="00F4508B">
        <w:t>valósult  meg</w:t>
      </w:r>
      <w:proofErr w:type="gramEnd"/>
      <w:r w:rsidRPr="00F4508B">
        <w:t xml:space="preserve">, az elért bevételi többlet 210.000.- Ft. Emellett az újsághoz kapcsolódó reklámbevételek összege is magasabb volt a költségvetésben elfogadott bevételhez képest. </w:t>
      </w:r>
    </w:p>
    <w:p w:rsidR="00F4508B" w:rsidRPr="00F4508B" w:rsidRDefault="00F4508B" w:rsidP="00F4508B">
      <w:pPr>
        <w:jc w:val="both"/>
      </w:pPr>
      <w:r w:rsidRPr="00F4508B">
        <w:t>A maradvány igénybevétele és számviteli elszámolása az év során a tervezett összeg szerint megtörtént.</w:t>
      </w:r>
    </w:p>
    <w:p w:rsidR="00F4508B" w:rsidRPr="00F4508B" w:rsidRDefault="00F4508B" w:rsidP="00F4508B">
      <w:pPr>
        <w:jc w:val="both"/>
      </w:pPr>
    </w:p>
    <w:p w:rsidR="00F4508B" w:rsidRPr="00F4508B" w:rsidRDefault="00F4508B" w:rsidP="00F4508B">
      <w:pPr>
        <w:jc w:val="both"/>
        <w:rPr>
          <w:b/>
        </w:rPr>
      </w:pPr>
      <w:r w:rsidRPr="00F4508B">
        <w:rPr>
          <w:b/>
        </w:rPr>
        <w:t>A Gondozási Központ bevételei:</w:t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t>adatok Ft-ban</w:t>
      </w:r>
    </w:p>
    <w:tbl>
      <w:tblPr>
        <w:tblStyle w:val="Rcsostblzat"/>
        <w:tblW w:w="0" w:type="auto"/>
        <w:tblLook w:val="04A0"/>
      </w:tblPr>
      <w:tblGrid>
        <w:gridCol w:w="2943"/>
        <w:gridCol w:w="1560"/>
        <w:gridCol w:w="1842"/>
        <w:gridCol w:w="1560"/>
        <w:gridCol w:w="1307"/>
      </w:tblGrid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Megnevezés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Eredeti előirányzat</w:t>
            </w:r>
          </w:p>
        </w:tc>
        <w:tc>
          <w:tcPr>
            <w:tcW w:w="1842" w:type="dxa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Módosított előirányzat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Teljesítés</w:t>
            </w:r>
          </w:p>
        </w:tc>
        <w:tc>
          <w:tcPr>
            <w:tcW w:w="1307" w:type="dxa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Teljesítés %-a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Működési célú támogatások az államháztartáson belülről (pályázat nélkül)</w:t>
            </w:r>
          </w:p>
        </w:tc>
        <w:tc>
          <w:tcPr>
            <w:tcW w:w="1560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1.602.000.-</w:t>
            </w:r>
          </w:p>
        </w:tc>
        <w:tc>
          <w:tcPr>
            <w:tcW w:w="1842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10.758.000.-</w:t>
            </w:r>
          </w:p>
        </w:tc>
        <w:tc>
          <w:tcPr>
            <w:tcW w:w="1560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14.039.616.-</w:t>
            </w:r>
          </w:p>
        </w:tc>
        <w:tc>
          <w:tcPr>
            <w:tcW w:w="1307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130,50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jc w:val="both"/>
            </w:pPr>
            <w:r w:rsidRPr="00F4508B">
              <w:t xml:space="preserve">TOP-5.1.2-15-TL-2016-00001 pályázathoz működési célú támogatás az államháztartáson belülről </w:t>
            </w:r>
          </w:p>
        </w:tc>
        <w:tc>
          <w:tcPr>
            <w:tcW w:w="1560" w:type="dxa"/>
            <w:vAlign w:val="center"/>
          </w:tcPr>
          <w:p w:rsidR="00F4508B" w:rsidRPr="00F4508B" w:rsidRDefault="00F4508B" w:rsidP="000D364A">
            <w:pPr>
              <w:jc w:val="right"/>
            </w:pPr>
            <w:r w:rsidRPr="00F4508B">
              <w:t>4.964.781.-</w:t>
            </w:r>
          </w:p>
        </w:tc>
        <w:tc>
          <w:tcPr>
            <w:tcW w:w="1842" w:type="dxa"/>
            <w:vAlign w:val="center"/>
          </w:tcPr>
          <w:p w:rsidR="00F4508B" w:rsidRPr="00F4508B" w:rsidRDefault="00F4508B" w:rsidP="000D364A">
            <w:pPr>
              <w:jc w:val="right"/>
            </w:pPr>
            <w:r w:rsidRPr="00F4508B">
              <w:t>8.001.632.-</w:t>
            </w:r>
          </w:p>
        </w:tc>
        <w:tc>
          <w:tcPr>
            <w:tcW w:w="1560" w:type="dxa"/>
            <w:vAlign w:val="center"/>
          </w:tcPr>
          <w:p w:rsidR="00F4508B" w:rsidRPr="00F4508B" w:rsidRDefault="00F4508B" w:rsidP="000D364A">
            <w:pPr>
              <w:jc w:val="right"/>
            </w:pPr>
            <w:r w:rsidRPr="00F4508B">
              <w:t>8.001.632</w:t>
            </w:r>
          </w:p>
        </w:tc>
        <w:tc>
          <w:tcPr>
            <w:tcW w:w="1307" w:type="dxa"/>
            <w:vAlign w:val="center"/>
          </w:tcPr>
          <w:p w:rsidR="00F4508B" w:rsidRPr="00F4508B" w:rsidRDefault="00F4508B" w:rsidP="000D364A">
            <w:pPr>
              <w:jc w:val="right"/>
            </w:pPr>
            <w:r w:rsidRPr="00F4508B">
              <w:t>100,00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Működési bevételek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47.936.000.-</w:t>
            </w:r>
          </w:p>
        </w:tc>
        <w:tc>
          <w:tcPr>
            <w:tcW w:w="1842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47.110.000.-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46.648.313.-</w:t>
            </w:r>
          </w:p>
        </w:tc>
        <w:tc>
          <w:tcPr>
            <w:tcW w:w="1307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99,02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jc w:val="both"/>
            </w:pPr>
            <w:r w:rsidRPr="00F4508B">
              <w:t>Műk. célú átvett pénzeszközök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jc w:val="right"/>
            </w:pPr>
          </w:p>
        </w:tc>
        <w:tc>
          <w:tcPr>
            <w:tcW w:w="1842" w:type="dxa"/>
          </w:tcPr>
          <w:p w:rsidR="00F4508B" w:rsidRPr="00F4508B" w:rsidRDefault="00F4508B" w:rsidP="000D364A">
            <w:pPr>
              <w:jc w:val="right"/>
            </w:pPr>
            <w:r w:rsidRPr="00F4508B">
              <w:t>70.760.-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jc w:val="right"/>
            </w:pPr>
            <w:r w:rsidRPr="00F4508B">
              <w:t>70.760.-</w:t>
            </w:r>
          </w:p>
        </w:tc>
        <w:tc>
          <w:tcPr>
            <w:tcW w:w="1307" w:type="dxa"/>
          </w:tcPr>
          <w:p w:rsidR="00F4508B" w:rsidRPr="00F4508B" w:rsidRDefault="00F4508B" w:rsidP="000D364A">
            <w:pPr>
              <w:jc w:val="right"/>
            </w:pPr>
            <w:r w:rsidRPr="00F4508B">
              <w:t>100,00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Maradvány igénybevétele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10.332.874.-</w:t>
            </w:r>
          </w:p>
        </w:tc>
        <w:tc>
          <w:tcPr>
            <w:tcW w:w="1842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10.332.874.-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10.332.874.-</w:t>
            </w:r>
          </w:p>
        </w:tc>
        <w:tc>
          <w:tcPr>
            <w:tcW w:w="1307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100,00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Összesen: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64.835.655.-</w:t>
            </w:r>
          </w:p>
        </w:tc>
        <w:tc>
          <w:tcPr>
            <w:tcW w:w="1842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76.273.266.-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79.093.195.-</w:t>
            </w:r>
          </w:p>
        </w:tc>
        <w:tc>
          <w:tcPr>
            <w:tcW w:w="1307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103,69</w:t>
            </w:r>
          </w:p>
        </w:tc>
      </w:tr>
    </w:tbl>
    <w:p w:rsidR="00F4508B" w:rsidRPr="00F4508B" w:rsidRDefault="00F4508B" w:rsidP="00F4508B">
      <w:pPr>
        <w:jc w:val="both"/>
      </w:pPr>
    </w:p>
    <w:p w:rsidR="00F4508B" w:rsidRPr="00F4508B" w:rsidRDefault="00F4508B" w:rsidP="00F4508B">
      <w:pPr>
        <w:jc w:val="both"/>
      </w:pPr>
      <w:r w:rsidRPr="00F4508B">
        <w:t>A Gondozási Központ bevételei összességében a módosított előirányzatokat meghaladó összegben teljesültek, a teljesítési mutató 103,69 %-os.</w:t>
      </w:r>
    </w:p>
    <w:p w:rsidR="00F4508B" w:rsidRPr="00F4508B" w:rsidRDefault="00F4508B" w:rsidP="00F4508B">
      <w:pPr>
        <w:jc w:val="both"/>
      </w:pPr>
      <w:r w:rsidRPr="00F4508B">
        <w:t xml:space="preserve">A működési célú támogatásokon belül eredeti előirányzat szintjén a TOP 5. 1. 2-15-TL1 2016-0001 számú, Foglalkoztatási Paktum elnevezésű pályázathoz tartozóan 4.964.781.- Ft tervezésére került sor, amely az évközi kifizetéseket és igényléseket követően 8.001.632.- Ft-ra emelkedett.  </w:t>
      </w:r>
    </w:p>
    <w:p w:rsidR="00F4508B" w:rsidRPr="00F4508B" w:rsidRDefault="00F4508B" w:rsidP="00F4508B">
      <w:pPr>
        <w:jc w:val="both"/>
        <w:rPr>
          <w:color w:val="000000"/>
        </w:rPr>
      </w:pPr>
      <w:r w:rsidRPr="00F4508B">
        <w:rPr>
          <w:color w:val="000000"/>
        </w:rPr>
        <w:t xml:space="preserve">További 1.602.000.- Ft tervezése történt, melyet a Tolna Megyei Kormányhivatal Munkaügyi Központja biztosít a programban résztvevők után az intézmény részére. Az év során új támogatói okiratok kerültek aláírásra, melyek alapján 4.913.616.- Ft támogatás igénylésére volt mód. Az érkezett </w:t>
      </w:r>
      <w:proofErr w:type="gramStart"/>
      <w:r w:rsidRPr="00F4508B">
        <w:rPr>
          <w:color w:val="000000"/>
        </w:rPr>
        <w:t>többlet  összegével</w:t>
      </w:r>
      <w:proofErr w:type="gramEnd"/>
      <w:r w:rsidRPr="00F4508B">
        <w:rPr>
          <w:color w:val="000000"/>
        </w:rPr>
        <w:t xml:space="preserve"> a bevételek és kiadások 2019. évi elszámolásban az önkormányzatok által fizetendő hozzájárulás összege csökkentésre került. </w:t>
      </w:r>
    </w:p>
    <w:p w:rsidR="00F4508B" w:rsidRPr="00F4508B" w:rsidRDefault="00F4508B" w:rsidP="00F4508B">
      <w:pPr>
        <w:jc w:val="both"/>
      </w:pPr>
      <w:r w:rsidRPr="00F4508B">
        <w:rPr>
          <w:color w:val="000000"/>
        </w:rPr>
        <w:t xml:space="preserve">Az intézmény a szakképzésben való részvétele miatt a szakképzési alapból visszatérítésben részesült, melynek éves összege 7.524.000.- Ft volt. E nem tervezett forrás nyújtott lehetőséget az intézmény részére nagyobb volument képviselő beszerzésre. </w:t>
      </w:r>
    </w:p>
    <w:p w:rsidR="00F4508B" w:rsidRPr="00F4508B" w:rsidRDefault="00F4508B" w:rsidP="00F4508B">
      <w:pPr>
        <w:jc w:val="both"/>
      </w:pPr>
      <w:r w:rsidRPr="00F4508B">
        <w:t xml:space="preserve">Az intézménynél egyéb átvett pénzeszközként a vállalkozásoktól az intézmény programjainak támogatására 70.760.- Ft érkezett. </w:t>
      </w:r>
    </w:p>
    <w:p w:rsidR="00F4508B" w:rsidRPr="00F4508B" w:rsidRDefault="00F4508B" w:rsidP="00F4508B">
      <w:pPr>
        <w:jc w:val="both"/>
      </w:pPr>
    </w:p>
    <w:p w:rsidR="00F4508B" w:rsidRPr="00F4508B" w:rsidRDefault="00F4508B" w:rsidP="00F4508B">
      <w:pPr>
        <w:jc w:val="both"/>
      </w:pPr>
      <w:r w:rsidRPr="00F4508B">
        <w:t xml:space="preserve">A működési bevételek az intézmény által nyújtott szolgáltatások ellenértékét tartalmazza. </w:t>
      </w:r>
    </w:p>
    <w:p w:rsidR="00F4508B" w:rsidRPr="00F4508B" w:rsidRDefault="00F4508B" w:rsidP="00F4508B">
      <w:pPr>
        <w:jc w:val="both"/>
      </w:pPr>
      <w:r w:rsidRPr="00F4508B">
        <w:t xml:space="preserve">Az eredeti előirányzatok összegét a szolgáltatási díjak alapján 47.936.000.- Ft-ban határoztuk meg. </w:t>
      </w:r>
    </w:p>
    <w:p w:rsidR="00F4508B" w:rsidRPr="00F4508B" w:rsidRDefault="00F4508B" w:rsidP="00F4508B">
      <w:pPr>
        <w:jc w:val="both"/>
      </w:pPr>
      <w:r w:rsidRPr="00F4508B">
        <w:t xml:space="preserve">A teljesítési adatok alapján azonban várható volt, hogy azok az év végéig nem teljesülnek, </w:t>
      </w:r>
      <w:r w:rsidRPr="00F4508B">
        <w:lastRenderedPageBreak/>
        <w:t xml:space="preserve">ezért annak összegét a Társulási Tanács a 26/2019. (XII.17.) </w:t>
      </w:r>
      <w:proofErr w:type="spellStart"/>
      <w:r w:rsidRPr="00F4508B">
        <w:t>VÖTth</w:t>
      </w:r>
      <w:proofErr w:type="spellEnd"/>
      <w:r w:rsidRPr="00F4508B">
        <w:t xml:space="preserve">. határozatában 826.000.- Ft-tal csökkentette. Így </w:t>
      </w:r>
      <w:proofErr w:type="gramStart"/>
      <w:r w:rsidRPr="00F4508B">
        <w:t>a  teljesítési</w:t>
      </w:r>
      <w:proofErr w:type="gramEnd"/>
      <w:r w:rsidRPr="00F4508B">
        <w:t xml:space="preserve"> mutató az előirányzati csoportban az év végén 99,02 %-os mértékű lett. </w:t>
      </w:r>
    </w:p>
    <w:p w:rsidR="00F4508B" w:rsidRPr="00F4508B" w:rsidRDefault="00F4508B" w:rsidP="00F4508B">
      <w:pPr>
        <w:jc w:val="both"/>
      </w:pPr>
    </w:p>
    <w:p w:rsidR="00F4508B" w:rsidRPr="00F4508B" w:rsidRDefault="00F4508B" w:rsidP="00F4508B">
      <w:pPr>
        <w:jc w:val="both"/>
      </w:pPr>
      <w:r w:rsidRPr="00F4508B">
        <w:t>Az intézménynél kimutatott 2018. évi maradványból 7.829.203.- Ft összegű volt a TOP pályázathoz tartozó, míg 2.503.671.- Ft az intézmény érintő maradvány összege, melynek számviteli elszámolása az év során a tervezett összeg szerint megtörtént.</w:t>
      </w:r>
    </w:p>
    <w:p w:rsidR="00F4508B" w:rsidRPr="00F4508B" w:rsidRDefault="00F4508B" w:rsidP="00F4508B">
      <w:pPr>
        <w:jc w:val="both"/>
      </w:pPr>
    </w:p>
    <w:p w:rsidR="00F4508B" w:rsidRPr="00F4508B" w:rsidRDefault="00F4508B" w:rsidP="00F4508B">
      <w:pPr>
        <w:jc w:val="both"/>
        <w:rPr>
          <w:b/>
        </w:rPr>
      </w:pPr>
      <w:r w:rsidRPr="00F4508B">
        <w:rPr>
          <w:b/>
        </w:rPr>
        <w:t>1.2.Kiadási előirányzatok teljesítése</w:t>
      </w:r>
    </w:p>
    <w:p w:rsidR="00F4508B" w:rsidRDefault="00F4508B" w:rsidP="00F4508B">
      <w:pPr>
        <w:jc w:val="both"/>
      </w:pPr>
    </w:p>
    <w:p w:rsidR="00F4508B" w:rsidRPr="00F4508B" w:rsidRDefault="00F4508B" w:rsidP="00F4508B">
      <w:pPr>
        <w:jc w:val="both"/>
      </w:pPr>
      <w:r w:rsidRPr="00F4508B">
        <w:t>Az év során 314.912.893.- Ft kiadás merült fel, amely a módosított előirányzathoz viszonyítva 95,89 %-os mértékű teljesítésnek felel meg. A teljesített kiadások összege úgy a Társulásnál, mind a Gondozási Központnál a módosított előirányzat alatt maradt.</w:t>
      </w:r>
    </w:p>
    <w:p w:rsidR="00F4508B" w:rsidRPr="00F4508B" w:rsidRDefault="00F4508B" w:rsidP="00F4508B">
      <w:pPr>
        <w:jc w:val="both"/>
        <w:rPr>
          <w:b/>
        </w:rPr>
      </w:pPr>
    </w:p>
    <w:p w:rsidR="00F4508B" w:rsidRPr="00F4508B" w:rsidRDefault="00F4508B" w:rsidP="00F4508B">
      <w:pPr>
        <w:jc w:val="both"/>
        <w:rPr>
          <w:b/>
        </w:rPr>
      </w:pPr>
      <w:r w:rsidRPr="00F4508B">
        <w:rPr>
          <w:b/>
        </w:rPr>
        <w:t>A Társulás kiadásai:</w:t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t>adatok Ft-ban</w:t>
      </w:r>
    </w:p>
    <w:tbl>
      <w:tblPr>
        <w:tblStyle w:val="Rcsostblzat"/>
        <w:tblW w:w="0" w:type="auto"/>
        <w:tblLook w:val="04A0"/>
      </w:tblPr>
      <w:tblGrid>
        <w:gridCol w:w="2943"/>
        <w:gridCol w:w="1560"/>
        <w:gridCol w:w="1842"/>
        <w:gridCol w:w="1560"/>
        <w:gridCol w:w="1307"/>
      </w:tblGrid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Megnevezés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Eredeti előirányzat</w:t>
            </w:r>
          </w:p>
        </w:tc>
        <w:tc>
          <w:tcPr>
            <w:tcW w:w="1842" w:type="dxa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Módosított előirányzat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Teljesítés</w:t>
            </w:r>
          </w:p>
        </w:tc>
        <w:tc>
          <w:tcPr>
            <w:tcW w:w="1307" w:type="dxa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Teljesítés %-a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Személyi juttatások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150.000.-</w:t>
            </w:r>
          </w:p>
        </w:tc>
        <w:tc>
          <w:tcPr>
            <w:tcW w:w="1842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150.000.-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129.612.-</w:t>
            </w:r>
          </w:p>
        </w:tc>
        <w:tc>
          <w:tcPr>
            <w:tcW w:w="1307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86,41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Munkaadókat terhelő járulékok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98.000.-</w:t>
            </w:r>
          </w:p>
        </w:tc>
        <w:tc>
          <w:tcPr>
            <w:tcW w:w="1842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98.000.-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78.303.-</w:t>
            </w:r>
          </w:p>
        </w:tc>
        <w:tc>
          <w:tcPr>
            <w:tcW w:w="1307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79,90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Dologi kiadások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9.149.000.-</w:t>
            </w:r>
          </w:p>
        </w:tc>
        <w:tc>
          <w:tcPr>
            <w:tcW w:w="1842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9.149.000.-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8.198.818.-</w:t>
            </w:r>
          </w:p>
        </w:tc>
        <w:tc>
          <w:tcPr>
            <w:tcW w:w="1307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89,61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Egyéb működési célú kiadások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7.166.000.-</w:t>
            </w:r>
          </w:p>
        </w:tc>
        <w:tc>
          <w:tcPr>
            <w:tcW w:w="1842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14.767.402.-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14.704.912.-</w:t>
            </w:r>
          </w:p>
        </w:tc>
        <w:tc>
          <w:tcPr>
            <w:tcW w:w="1307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99,58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Tartalékok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7.088.572.-</w:t>
            </w:r>
          </w:p>
        </w:tc>
        <w:tc>
          <w:tcPr>
            <w:tcW w:w="1842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4.741.936.-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 xml:space="preserve">    -    </w:t>
            </w:r>
          </w:p>
        </w:tc>
        <w:tc>
          <w:tcPr>
            <w:tcW w:w="1307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-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Beruházások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400.000.-</w:t>
            </w:r>
          </w:p>
        </w:tc>
        <w:tc>
          <w:tcPr>
            <w:tcW w:w="1842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400.000.-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344.290.-</w:t>
            </w:r>
          </w:p>
        </w:tc>
        <w:tc>
          <w:tcPr>
            <w:tcW w:w="1307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86,07</w:t>
            </w:r>
          </w:p>
        </w:tc>
      </w:tr>
      <w:tr w:rsidR="00F4508B" w:rsidRPr="00F4508B" w:rsidTr="000D364A">
        <w:tc>
          <w:tcPr>
            <w:tcW w:w="2943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Összesen: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24.051.572.-</w:t>
            </w:r>
          </w:p>
        </w:tc>
        <w:tc>
          <w:tcPr>
            <w:tcW w:w="1842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29.306.338.-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23.455.935.-</w:t>
            </w:r>
          </w:p>
        </w:tc>
        <w:tc>
          <w:tcPr>
            <w:tcW w:w="1307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80,03</w:t>
            </w:r>
          </w:p>
        </w:tc>
      </w:tr>
    </w:tbl>
    <w:p w:rsidR="00F4508B" w:rsidRPr="00F4508B" w:rsidRDefault="00F4508B" w:rsidP="00F4508B">
      <w:pPr>
        <w:jc w:val="both"/>
      </w:pPr>
    </w:p>
    <w:p w:rsidR="00F4508B" w:rsidRPr="00F4508B" w:rsidRDefault="00F4508B" w:rsidP="00F4508B">
      <w:pPr>
        <w:jc w:val="both"/>
      </w:pPr>
      <w:r w:rsidRPr="00F4508B">
        <w:t xml:space="preserve">A Társulási kiadásoknak a módosított előirányzathoz viszonyított felhasználási mutatója 80,03 %-os mértékű. </w:t>
      </w:r>
    </w:p>
    <w:p w:rsidR="00F4508B" w:rsidRPr="00F4508B" w:rsidRDefault="00F4508B" w:rsidP="00F4508B">
      <w:pPr>
        <w:jc w:val="both"/>
      </w:pPr>
    </w:p>
    <w:p w:rsidR="00F4508B" w:rsidRPr="00F4508B" w:rsidRDefault="00F4508B" w:rsidP="00F4508B">
      <w:pPr>
        <w:jc w:val="both"/>
      </w:pPr>
      <w:r w:rsidRPr="00F4508B">
        <w:t>A kiadások egyes elemei, azok teljesítése az alábbiak szerint alakult:</w:t>
      </w:r>
    </w:p>
    <w:p w:rsidR="00F4508B" w:rsidRPr="00F4508B" w:rsidRDefault="00F4508B" w:rsidP="00F4508B">
      <w:pPr>
        <w:jc w:val="both"/>
      </w:pPr>
      <w:r w:rsidRPr="00F4508B">
        <w:t xml:space="preserve">- Személyi juttatások között tervezésre a reprezentáció került 150.000.- Ft összegben. A kiadások </w:t>
      </w:r>
      <w:proofErr w:type="gramStart"/>
      <w:r w:rsidRPr="00F4508B">
        <w:t>a</w:t>
      </w:r>
      <w:proofErr w:type="gramEnd"/>
      <w:r w:rsidRPr="00F4508B">
        <w:t xml:space="preserve"> egy Társulási Tanács ülésének, valamint a kisebb ajándékok kiadásait tartalmazzák. Az elszámolt kiadások összege 129. 612.- Ft volt. </w:t>
      </w:r>
    </w:p>
    <w:p w:rsidR="00F4508B" w:rsidRPr="00F4508B" w:rsidRDefault="00F4508B" w:rsidP="00F4508B">
      <w:pPr>
        <w:jc w:val="both"/>
      </w:pPr>
      <w:r w:rsidRPr="00F4508B">
        <w:t xml:space="preserve">- A munkaadói járulékok között a cégtelefon, valamint a reprezentáció utáni adó és járulékteher került 98.000.- Ft összegben tervezésre. A felmerült kiadások a reprezentáció kiadásokhoz kapcsolódóan alacsonyabbak a tervezettnél. </w:t>
      </w:r>
    </w:p>
    <w:p w:rsidR="00F4508B" w:rsidRPr="00F4508B" w:rsidRDefault="00F4508B" w:rsidP="00F4508B">
      <w:pPr>
        <w:jc w:val="both"/>
      </w:pPr>
      <w:r w:rsidRPr="00F4508B">
        <w:t>- Üzemelési anyag a Társulás irodaszereinek és egyéb anyagköltségeinek összegét tartalmazza. Ehhez tartozó előirányzat összege 158.000.- Ft volt, míg a felmerült kiadások 93.543.- Ft-ot képeztek.</w:t>
      </w:r>
    </w:p>
    <w:p w:rsidR="00F4508B" w:rsidRPr="00F4508B" w:rsidRDefault="00F4508B" w:rsidP="00F4508B">
      <w:pPr>
        <w:jc w:val="both"/>
      </w:pPr>
      <w:r w:rsidRPr="00F4508B">
        <w:t xml:space="preserve">- Egyéb kommunikációs szolgáltatásként 253.000.- Ft tervezésére került sor, amely a honlap karbantartása, a mobiltelefon díjára, valamint a </w:t>
      </w:r>
      <w:proofErr w:type="spellStart"/>
      <w:r w:rsidRPr="00F4508B">
        <w:t>gmail</w:t>
      </w:r>
      <w:proofErr w:type="spellEnd"/>
      <w:r w:rsidRPr="00F4508B">
        <w:t xml:space="preserve"> fiók használatához tartozó kiadásokat tartalmazta eredeti előirányzat címén. A felmerült kiadások ezen a jogcímen is a tervezett alatt maradtak, összege 222.788.- Ft volt. </w:t>
      </w:r>
    </w:p>
    <w:p w:rsidR="00F4508B" w:rsidRPr="00F4508B" w:rsidRDefault="00F4508B" w:rsidP="00F4508B">
      <w:pPr>
        <w:jc w:val="both"/>
      </w:pPr>
      <w:r w:rsidRPr="00F4508B">
        <w:t xml:space="preserve">-  A karbantartás kerete 473.000.- Ft volt, amely a sátor és az orvosi eszközök karbantartására szolgált, ennek terhére az év során kiadás nem merült fel. </w:t>
      </w:r>
    </w:p>
    <w:p w:rsidR="00F4508B" w:rsidRPr="00F4508B" w:rsidRDefault="00F4508B" w:rsidP="00F4508B">
      <w:pPr>
        <w:jc w:val="both"/>
      </w:pPr>
      <w:r w:rsidRPr="00F4508B">
        <w:t>- Szakmai tevékenységet segítő szolgáltatások 4.445.000.- Ft összegű kiadása a belső ellenőrzési feladatok ellátásáért fizetett díjat tartalmazza.</w:t>
      </w:r>
    </w:p>
    <w:p w:rsidR="00F4508B" w:rsidRPr="00F4508B" w:rsidRDefault="00F4508B" w:rsidP="00F4508B">
      <w:pPr>
        <w:jc w:val="both"/>
      </w:pPr>
      <w:r w:rsidRPr="00F4508B">
        <w:t>- Egyéb szolgáltatásra a rendelkezésre álló 576.000.- Ft kerettel szemben 532.528.- Ft-ot fizettünk ki. A költségek a bank</w:t>
      </w:r>
      <w:proofErr w:type="gramStart"/>
      <w:r w:rsidRPr="00F4508B">
        <w:t>,  valamint</w:t>
      </w:r>
      <w:proofErr w:type="gramEnd"/>
      <w:r w:rsidRPr="00F4508B">
        <w:t xml:space="preserve"> az újság kiadásával kapcsolatos postai költségeket tartalmazza. </w:t>
      </w:r>
    </w:p>
    <w:p w:rsidR="00F4508B" w:rsidRPr="00F4508B" w:rsidRDefault="00F4508B" w:rsidP="00F4508B">
      <w:pPr>
        <w:jc w:val="both"/>
      </w:pPr>
      <w:r w:rsidRPr="00F4508B">
        <w:lastRenderedPageBreak/>
        <w:t>- A reklám és propaganda kiadások a Völgységi Hírlevél kiadásával kapcsolatos szerkesztési, tördelési költségeket tartalmazzák. Ennek összege az elkülönített 2.446.569.- Ft- előirányzatot megközelítő, 2.427.100.- Ft összegű.</w:t>
      </w:r>
    </w:p>
    <w:p w:rsidR="00F4508B" w:rsidRPr="00F4508B" w:rsidRDefault="00F4508B" w:rsidP="00F4508B">
      <w:pPr>
        <w:jc w:val="both"/>
      </w:pPr>
      <w:r w:rsidRPr="00F4508B">
        <w:t xml:space="preserve"> - Egyéb dologi kiadásként 157.000.- Ft előirányzathoz képest alacsonyabb, 13.962.- Ft-ot számoltunk el, amely döntő részben virágok vásárlásának kiadását tartalmazta. </w:t>
      </w:r>
    </w:p>
    <w:p w:rsidR="00F4508B" w:rsidRPr="00F4508B" w:rsidRDefault="00F4508B" w:rsidP="00F4508B">
      <w:pPr>
        <w:jc w:val="both"/>
      </w:pPr>
      <w:r w:rsidRPr="00F4508B">
        <w:t>- A működési célú előzetes ÁFA a felmerülő kiadások függvénye, amely esetében 640.431.- Ft előirányzattal szemben 463.897.- Ft kiadás merült fel.</w:t>
      </w:r>
    </w:p>
    <w:p w:rsidR="00F4508B" w:rsidRPr="00F4508B" w:rsidRDefault="00F4508B" w:rsidP="00F4508B">
      <w:pPr>
        <w:jc w:val="both"/>
      </w:pPr>
      <w:r w:rsidRPr="00F4508B">
        <w:t>Az előző szakaszban részletezett okok következtében a dologi kiadások összességében a tervezetthez képest kedvezően alakultak, a rendelkezésre álló 9.149.000.- Ft módosított előirányzattal szemben 8.198.818.- Ft kiadás került elszámolásra.</w:t>
      </w:r>
    </w:p>
    <w:p w:rsidR="00F4508B" w:rsidRPr="00F4508B" w:rsidRDefault="00F4508B" w:rsidP="00F4508B">
      <w:pPr>
        <w:jc w:val="both"/>
      </w:pPr>
      <w:r w:rsidRPr="00F4508B">
        <w:t xml:space="preserve">- Az egyéb működési célú támogatások között bérátadásként a társulási és a pénzügyi ügyintéző bér és járulékát, valamint a közművelődési célú pályázat támogatását terveztük meg együttesen 7.166.000.- Ft összegben. Előirányzat növekményként jelentkezik bevételek és kiadások bruttó elszámolása miatt a 2019. évi feladatellátás elszámolása alapján az önkormányzatoknak kiutalandó 7.601.402.- Ft összeg. </w:t>
      </w:r>
    </w:p>
    <w:p w:rsidR="00F4508B" w:rsidRPr="00F4508B" w:rsidRDefault="00F4508B" w:rsidP="00F4508B">
      <w:pPr>
        <w:jc w:val="both"/>
      </w:pPr>
      <w:r w:rsidRPr="00F4508B">
        <w:t>Az év során a bérátadás, valamint az önkormányzatoknak járó összegek kiutalása megtörtént. A költségvetés eredeti előirányzata tartalmazta a közművelődési pályázatok előirányzatát. A Társulási Tanács a 9/2019.(IV. 5.) határozatában döntött a pályázati alap felosztásáról. Ennek megfelelően a 2.300.000.- Ft összegű támogatás kiutalásra került.</w:t>
      </w:r>
    </w:p>
    <w:p w:rsidR="00F4508B" w:rsidRPr="00F4508B" w:rsidRDefault="00F4508B" w:rsidP="00F4508B">
      <w:pPr>
        <w:jc w:val="both"/>
      </w:pPr>
      <w:r w:rsidRPr="00F4508B">
        <w:t xml:space="preserve"> </w:t>
      </w:r>
    </w:p>
    <w:p w:rsidR="00F4508B" w:rsidRPr="00F4508B" w:rsidRDefault="00F4508B" w:rsidP="00F4508B">
      <w:pPr>
        <w:jc w:val="both"/>
      </w:pPr>
      <w:r w:rsidRPr="00F4508B">
        <w:t>A tartalékok előirányzata az alábbiak szerint alakult:</w:t>
      </w:r>
    </w:p>
    <w:tbl>
      <w:tblPr>
        <w:tblStyle w:val="Rcsostblzat"/>
        <w:tblW w:w="0" w:type="auto"/>
        <w:tblInd w:w="108" w:type="dxa"/>
        <w:tblLook w:val="04A0"/>
      </w:tblPr>
      <w:tblGrid>
        <w:gridCol w:w="2835"/>
        <w:gridCol w:w="2552"/>
        <w:gridCol w:w="2131"/>
        <w:gridCol w:w="1607"/>
      </w:tblGrid>
      <w:tr w:rsidR="00F4508B" w:rsidRPr="00F4508B" w:rsidTr="000D364A">
        <w:tc>
          <w:tcPr>
            <w:tcW w:w="2835" w:type="dxa"/>
          </w:tcPr>
          <w:p w:rsidR="00F4508B" w:rsidRPr="00F4508B" w:rsidRDefault="00F4508B" w:rsidP="000D364A">
            <w:pPr>
              <w:jc w:val="both"/>
            </w:pPr>
            <w:r w:rsidRPr="00F4508B">
              <w:t>Megnevezés</w:t>
            </w:r>
          </w:p>
        </w:tc>
        <w:tc>
          <w:tcPr>
            <w:tcW w:w="2552" w:type="dxa"/>
          </w:tcPr>
          <w:p w:rsidR="00F4508B" w:rsidRPr="00F4508B" w:rsidRDefault="00F4508B" w:rsidP="000D364A">
            <w:pPr>
              <w:jc w:val="both"/>
            </w:pPr>
            <w:r w:rsidRPr="00F4508B">
              <w:t>Társulás (Tagok1.,2.)</w:t>
            </w:r>
          </w:p>
        </w:tc>
        <w:tc>
          <w:tcPr>
            <w:tcW w:w="2131" w:type="dxa"/>
          </w:tcPr>
          <w:p w:rsidR="00F4508B" w:rsidRPr="00F4508B" w:rsidRDefault="00F4508B" w:rsidP="000D364A">
            <w:pPr>
              <w:jc w:val="both"/>
            </w:pPr>
            <w:proofErr w:type="gramStart"/>
            <w:r w:rsidRPr="00F4508B">
              <w:t>Társulás(</w:t>
            </w:r>
            <w:proofErr w:type="gramEnd"/>
            <w:r w:rsidRPr="00F4508B">
              <w:t>Tagok3.)</w:t>
            </w:r>
          </w:p>
        </w:tc>
        <w:tc>
          <w:tcPr>
            <w:tcW w:w="1607" w:type="dxa"/>
          </w:tcPr>
          <w:p w:rsidR="00F4508B" w:rsidRPr="00F4508B" w:rsidRDefault="00F4508B" w:rsidP="000D364A">
            <w:pPr>
              <w:jc w:val="both"/>
            </w:pPr>
            <w:r w:rsidRPr="00F4508B">
              <w:t>Összesen</w:t>
            </w:r>
          </w:p>
        </w:tc>
      </w:tr>
      <w:tr w:rsidR="00F4508B" w:rsidRPr="00F4508B" w:rsidTr="000D364A">
        <w:tc>
          <w:tcPr>
            <w:tcW w:w="2835" w:type="dxa"/>
          </w:tcPr>
          <w:p w:rsidR="00F4508B" w:rsidRPr="00F4508B" w:rsidRDefault="00F4508B" w:rsidP="000D364A">
            <w:pPr>
              <w:jc w:val="both"/>
            </w:pPr>
            <w:r w:rsidRPr="00F4508B">
              <w:t>Előirányzat:2019.01.01.</w:t>
            </w:r>
          </w:p>
        </w:tc>
        <w:tc>
          <w:tcPr>
            <w:tcW w:w="2552" w:type="dxa"/>
          </w:tcPr>
          <w:p w:rsidR="00F4508B" w:rsidRPr="00F4508B" w:rsidRDefault="00F4508B" w:rsidP="000D364A">
            <w:pPr>
              <w:jc w:val="right"/>
            </w:pPr>
            <w:r w:rsidRPr="00F4508B">
              <w:t>1.596.114.-</w:t>
            </w:r>
          </w:p>
        </w:tc>
        <w:tc>
          <w:tcPr>
            <w:tcW w:w="2131" w:type="dxa"/>
          </w:tcPr>
          <w:p w:rsidR="00F4508B" w:rsidRPr="00F4508B" w:rsidRDefault="00F4508B" w:rsidP="000D364A">
            <w:pPr>
              <w:jc w:val="right"/>
            </w:pPr>
            <w:r w:rsidRPr="00F4508B">
              <w:t>5.492.458.-</w:t>
            </w:r>
          </w:p>
        </w:tc>
        <w:tc>
          <w:tcPr>
            <w:tcW w:w="1607" w:type="dxa"/>
          </w:tcPr>
          <w:p w:rsidR="00F4508B" w:rsidRPr="00F4508B" w:rsidRDefault="00F4508B" w:rsidP="000D364A">
            <w:pPr>
              <w:jc w:val="right"/>
            </w:pPr>
            <w:r w:rsidRPr="00F4508B">
              <w:t>7.088.572.-</w:t>
            </w:r>
          </w:p>
        </w:tc>
      </w:tr>
      <w:tr w:rsidR="00F4508B" w:rsidRPr="00F4508B" w:rsidTr="000D364A">
        <w:tc>
          <w:tcPr>
            <w:tcW w:w="2835" w:type="dxa"/>
          </w:tcPr>
          <w:p w:rsidR="00F4508B" w:rsidRPr="00F4508B" w:rsidRDefault="00F4508B" w:rsidP="000D364A">
            <w:pPr>
              <w:jc w:val="both"/>
            </w:pPr>
            <w:r w:rsidRPr="00F4508B">
              <w:t>Igénybevétel:</w:t>
            </w:r>
          </w:p>
        </w:tc>
        <w:tc>
          <w:tcPr>
            <w:tcW w:w="2552" w:type="dxa"/>
          </w:tcPr>
          <w:p w:rsidR="00F4508B" w:rsidRPr="00F4508B" w:rsidRDefault="00F4508B" w:rsidP="000D364A">
            <w:pPr>
              <w:jc w:val="right"/>
            </w:pPr>
          </w:p>
        </w:tc>
        <w:tc>
          <w:tcPr>
            <w:tcW w:w="2131" w:type="dxa"/>
          </w:tcPr>
          <w:p w:rsidR="00F4508B" w:rsidRPr="00F4508B" w:rsidRDefault="00F4508B" w:rsidP="000D364A">
            <w:pPr>
              <w:jc w:val="right"/>
            </w:pPr>
          </w:p>
        </w:tc>
        <w:tc>
          <w:tcPr>
            <w:tcW w:w="1607" w:type="dxa"/>
          </w:tcPr>
          <w:p w:rsidR="00F4508B" w:rsidRPr="00F4508B" w:rsidRDefault="00F4508B" w:rsidP="000D364A">
            <w:pPr>
              <w:jc w:val="right"/>
            </w:pPr>
          </w:p>
        </w:tc>
      </w:tr>
      <w:tr w:rsidR="00F4508B" w:rsidRPr="00F4508B" w:rsidTr="000D364A">
        <w:tc>
          <w:tcPr>
            <w:tcW w:w="2835" w:type="dxa"/>
          </w:tcPr>
          <w:p w:rsidR="00F4508B" w:rsidRPr="00F4508B" w:rsidRDefault="00F4508B" w:rsidP="000D364A">
            <w:pPr>
              <w:jc w:val="both"/>
            </w:pPr>
            <w:r w:rsidRPr="00F4508B">
              <w:t>- 2018. évi elszámolási különbözet</w:t>
            </w:r>
          </w:p>
        </w:tc>
        <w:tc>
          <w:tcPr>
            <w:tcW w:w="2552" w:type="dxa"/>
          </w:tcPr>
          <w:p w:rsidR="00F4508B" w:rsidRPr="00F4508B" w:rsidRDefault="00F4508B" w:rsidP="000D364A">
            <w:pPr>
              <w:jc w:val="right"/>
            </w:pPr>
          </w:p>
        </w:tc>
        <w:tc>
          <w:tcPr>
            <w:tcW w:w="2131" w:type="dxa"/>
          </w:tcPr>
          <w:p w:rsidR="00F4508B" w:rsidRPr="00F4508B" w:rsidRDefault="00F4508B" w:rsidP="000D364A">
            <w:pPr>
              <w:jc w:val="right"/>
            </w:pPr>
            <w:r w:rsidRPr="00F4508B">
              <w:t>-2.346.636.-</w:t>
            </w:r>
          </w:p>
        </w:tc>
        <w:tc>
          <w:tcPr>
            <w:tcW w:w="1607" w:type="dxa"/>
          </w:tcPr>
          <w:p w:rsidR="00F4508B" w:rsidRPr="00F4508B" w:rsidRDefault="00F4508B" w:rsidP="000D364A">
            <w:pPr>
              <w:jc w:val="right"/>
            </w:pPr>
            <w:r w:rsidRPr="00F4508B">
              <w:t>-2.346.636.-</w:t>
            </w:r>
          </w:p>
        </w:tc>
      </w:tr>
      <w:tr w:rsidR="00F4508B" w:rsidRPr="00F4508B" w:rsidTr="000D364A">
        <w:tc>
          <w:tcPr>
            <w:tcW w:w="2835" w:type="dxa"/>
          </w:tcPr>
          <w:p w:rsidR="00F4508B" w:rsidRPr="00F4508B" w:rsidRDefault="00F4508B" w:rsidP="000D364A">
            <w:pPr>
              <w:jc w:val="both"/>
            </w:pPr>
            <w:r w:rsidRPr="00F4508B">
              <w:t>Állomány: 2019.12.31-én</w:t>
            </w:r>
          </w:p>
        </w:tc>
        <w:tc>
          <w:tcPr>
            <w:tcW w:w="2552" w:type="dxa"/>
          </w:tcPr>
          <w:p w:rsidR="00F4508B" w:rsidRPr="00F4508B" w:rsidRDefault="00F4508B" w:rsidP="000D364A">
            <w:pPr>
              <w:jc w:val="right"/>
            </w:pPr>
            <w:r w:rsidRPr="00F4508B">
              <w:t>1.596.114.-</w:t>
            </w:r>
          </w:p>
        </w:tc>
        <w:tc>
          <w:tcPr>
            <w:tcW w:w="2131" w:type="dxa"/>
          </w:tcPr>
          <w:p w:rsidR="00F4508B" w:rsidRPr="00F4508B" w:rsidRDefault="00F4508B" w:rsidP="000D364A">
            <w:pPr>
              <w:jc w:val="right"/>
            </w:pPr>
            <w:r w:rsidRPr="00F4508B">
              <w:t>3.145.822.-</w:t>
            </w:r>
          </w:p>
        </w:tc>
        <w:tc>
          <w:tcPr>
            <w:tcW w:w="1607" w:type="dxa"/>
          </w:tcPr>
          <w:p w:rsidR="00F4508B" w:rsidRPr="00F4508B" w:rsidRDefault="00F4508B" w:rsidP="000D364A">
            <w:pPr>
              <w:jc w:val="right"/>
            </w:pPr>
            <w:r w:rsidRPr="00F4508B">
              <w:t>4.741.936.-</w:t>
            </w:r>
          </w:p>
        </w:tc>
      </w:tr>
    </w:tbl>
    <w:p w:rsidR="00F4508B" w:rsidRPr="00F4508B" w:rsidRDefault="00F4508B" w:rsidP="00F4508B">
      <w:pPr>
        <w:jc w:val="both"/>
      </w:pPr>
    </w:p>
    <w:p w:rsidR="00F4508B" w:rsidRPr="00F4508B" w:rsidRDefault="00F4508B" w:rsidP="00F4508B">
      <w:pPr>
        <w:jc w:val="both"/>
      </w:pPr>
      <w:r w:rsidRPr="00F4508B">
        <w:t>A Társulás az év végén 4.741.936.- Ft összegű tartalékkal rendelkezett.</w:t>
      </w:r>
    </w:p>
    <w:p w:rsidR="00F4508B" w:rsidRPr="00F4508B" w:rsidRDefault="00F4508B" w:rsidP="00F4508B">
      <w:pPr>
        <w:jc w:val="both"/>
      </w:pPr>
      <w:r w:rsidRPr="00F4508B">
        <w:t>Az elszámolt beruházási kiadások összege a társulás munkáját koordináló ügyintéző részére vásárolt számítógép beszerzési árát tartalmazza.</w:t>
      </w:r>
    </w:p>
    <w:p w:rsidR="00F4508B" w:rsidRPr="00F4508B" w:rsidRDefault="00F4508B" w:rsidP="00F4508B">
      <w:pPr>
        <w:jc w:val="both"/>
      </w:pPr>
    </w:p>
    <w:p w:rsidR="00F4508B" w:rsidRPr="00F4508B" w:rsidRDefault="00F4508B" w:rsidP="00F4508B">
      <w:pPr>
        <w:jc w:val="both"/>
        <w:rPr>
          <w:b/>
        </w:rPr>
      </w:pPr>
      <w:r w:rsidRPr="00F4508B">
        <w:rPr>
          <w:b/>
        </w:rPr>
        <w:t>A Gondozási Központ kiadásai</w:t>
      </w:r>
      <w:proofErr w:type="gramStart"/>
      <w:r w:rsidRPr="00F4508B">
        <w:rPr>
          <w:b/>
        </w:rPr>
        <w:t xml:space="preserve">:           </w:t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rPr>
          <w:b/>
        </w:rPr>
        <w:tab/>
      </w:r>
      <w:r w:rsidRPr="00F4508B">
        <w:t>adatok</w:t>
      </w:r>
      <w:proofErr w:type="gramEnd"/>
      <w:r w:rsidRPr="00F4508B">
        <w:t xml:space="preserve"> Ft-ban</w:t>
      </w:r>
      <w:r w:rsidRPr="00F4508B">
        <w:rPr>
          <w:b/>
        </w:rPr>
        <w:t xml:space="preserve"> </w:t>
      </w:r>
    </w:p>
    <w:tbl>
      <w:tblPr>
        <w:tblStyle w:val="Rcsostblzat"/>
        <w:tblW w:w="0" w:type="auto"/>
        <w:tblInd w:w="108" w:type="dxa"/>
        <w:tblLook w:val="04A0"/>
      </w:tblPr>
      <w:tblGrid>
        <w:gridCol w:w="2835"/>
        <w:gridCol w:w="1560"/>
        <w:gridCol w:w="1842"/>
        <w:gridCol w:w="1560"/>
        <w:gridCol w:w="1307"/>
      </w:tblGrid>
      <w:tr w:rsidR="00F4508B" w:rsidRPr="00F4508B" w:rsidTr="000D364A">
        <w:tc>
          <w:tcPr>
            <w:tcW w:w="2835" w:type="dxa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Megnevezés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Eredeti előirányzat</w:t>
            </w:r>
          </w:p>
        </w:tc>
        <w:tc>
          <w:tcPr>
            <w:tcW w:w="1842" w:type="dxa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Módosított előirányzat</w:t>
            </w:r>
          </w:p>
        </w:tc>
        <w:tc>
          <w:tcPr>
            <w:tcW w:w="1560" w:type="dxa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Teljesítés</w:t>
            </w:r>
          </w:p>
        </w:tc>
        <w:tc>
          <w:tcPr>
            <w:tcW w:w="1307" w:type="dxa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Teljesítés %-a</w:t>
            </w:r>
          </w:p>
        </w:tc>
      </w:tr>
      <w:tr w:rsidR="00F4508B" w:rsidRPr="00F4508B" w:rsidTr="000D364A">
        <w:tc>
          <w:tcPr>
            <w:tcW w:w="2835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Személyi juttatások</w:t>
            </w:r>
          </w:p>
        </w:tc>
        <w:tc>
          <w:tcPr>
            <w:tcW w:w="1560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168.555.000.-</w:t>
            </w:r>
          </w:p>
        </w:tc>
        <w:tc>
          <w:tcPr>
            <w:tcW w:w="1842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190.560.307.-</w:t>
            </w:r>
          </w:p>
        </w:tc>
        <w:tc>
          <w:tcPr>
            <w:tcW w:w="1560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187.157.295.-</w:t>
            </w:r>
          </w:p>
        </w:tc>
        <w:tc>
          <w:tcPr>
            <w:tcW w:w="1307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98,21</w:t>
            </w:r>
          </w:p>
        </w:tc>
      </w:tr>
      <w:tr w:rsidR="00F4508B" w:rsidRPr="00F4508B" w:rsidTr="000D364A">
        <w:tc>
          <w:tcPr>
            <w:tcW w:w="2835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Munkaadókat terhelő járulékok</w:t>
            </w:r>
          </w:p>
        </w:tc>
        <w:tc>
          <w:tcPr>
            <w:tcW w:w="1560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36.439.000.-</w:t>
            </w:r>
          </w:p>
        </w:tc>
        <w:tc>
          <w:tcPr>
            <w:tcW w:w="1842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39.402.295.-</w:t>
            </w:r>
          </w:p>
        </w:tc>
        <w:tc>
          <w:tcPr>
            <w:tcW w:w="1560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37.550.638.-</w:t>
            </w:r>
          </w:p>
        </w:tc>
        <w:tc>
          <w:tcPr>
            <w:tcW w:w="1307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95,3</w:t>
            </w:r>
          </w:p>
        </w:tc>
      </w:tr>
      <w:tr w:rsidR="00F4508B" w:rsidRPr="00F4508B" w:rsidTr="000D364A">
        <w:tc>
          <w:tcPr>
            <w:tcW w:w="2835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Dologi kiadások</w:t>
            </w:r>
          </w:p>
        </w:tc>
        <w:tc>
          <w:tcPr>
            <w:tcW w:w="1560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57.333.984.-</w:t>
            </w:r>
          </w:p>
        </w:tc>
        <w:tc>
          <w:tcPr>
            <w:tcW w:w="1842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56.824.000.-</w:t>
            </w:r>
          </w:p>
        </w:tc>
        <w:tc>
          <w:tcPr>
            <w:tcW w:w="1560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54.702.076.-</w:t>
            </w:r>
          </w:p>
        </w:tc>
        <w:tc>
          <w:tcPr>
            <w:tcW w:w="1307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96,26</w:t>
            </w:r>
          </w:p>
        </w:tc>
      </w:tr>
      <w:tr w:rsidR="00F4508B" w:rsidRPr="00F4508B" w:rsidTr="000D364A">
        <w:tc>
          <w:tcPr>
            <w:tcW w:w="2835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Tartalékok</w:t>
            </w:r>
          </w:p>
        </w:tc>
        <w:tc>
          <w:tcPr>
            <w:tcW w:w="1560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500.671.-</w:t>
            </w:r>
          </w:p>
        </w:tc>
        <w:tc>
          <w:tcPr>
            <w:tcW w:w="1842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-</w:t>
            </w:r>
          </w:p>
        </w:tc>
        <w:tc>
          <w:tcPr>
            <w:tcW w:w="1560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center"/>
            </w:pPr>
            <w:r w:rsidRPr="00F4508B">
              <w:t>-</w:t>
            </w:r>
          </w:p>
        </w:tc>
        <w:tc>
          <w:tcPr>
            <w:tcW w:w="1307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-</w:t>
            </w:r>
          </w:p>
        </w:tc>
      </w:tr>
      <w:tr w:rsidR="00F4508B" w:rsidRPr="00F4508B" w:rsidTr="000D364A">
        <w:tc>
          <w:tcPr>
            <w:tcW w:w="2835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Beruházások</w:t>
            </w:r>
          </w:p>
        </w:tc>
        <w:tc>
          <w:tcPr>
            <w:tcW w:w="1560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2.585.000.-</w:t>
            </w:r>
          </w:p>
        </w:tc>
        <w:tc>
          <w:tcPr>
            <w:tcW w:w="1842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12.304.415.-</w:t>
            </w:r>
          </w:p>
        </w:tc>
        <w:tc>
          <w:tcPr>
            <w:tcW w:w="1560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12.046.949.-</w:t>
            </w:r>
          </w:p>
        </w:tc>
        <w:tc>
          <w:tcPr>
            <w:tcW w:w="1307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97,90</w:t>
            </w:r>
          </w:p>
        </w:tc>
      </w:tr>
      <w:tr w:rsidR="00F4508B" w:rsidRPr="00F4508B" w:rsidTr="000D364A">
        <w:tc>
          <w:tcPr>
            <w:tcW w:w="2835" w:type="dxa"/>
          </w:tcPr>
          <w:p w:rsidR="00F4508B" w:rsidRPr="00F4508B" w:rsidRDefault="00F4508B" w:rsidP="000D364A">
            <w:pPr>
              <w:spacing w:line="276" w:lineRule="auto"/>
              <w:jc w:val="both"/>
            </w:pPr>
            <w:r w:rsidRPr="00F4508B">
              <w:t>Összesen:</w:t>
            </w:r>
          </w:p>
        </w:tc>
        <w:tc>
          <w:tcPr>
            <w:tcW w:w="1560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265.613.655.-</w:t>
            </w:r>
          </w:p>
        </w:tc>
        <w:tc>
          <w:tcPr>
            <w:tcW w:w="1842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299.091.017.-</w:t>
            </w:r>
          </w:p>
        </w:tc>
        <w:tc>
          <w:tcPr>
            <w:tcW w:w="1560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291.456.958.-</w:t>
            </w:r>
          </w:p>
        </w:tc>
        <w:tc>
          <w:tcPr>
            <w:tcW w:w="1307" w:type="dxa"/>
            <w:vAlign w:val="center"/>
          </w:tcPr>
          <w:p w:rsidR="00F4508B" w:rsidRPr="00F4508B" w:rsidRDefault="00F4508B" w:rsidP="000D364A">
            <w:pPr>
              <w:spacing w:line="276" w:lineRule="auto"/>
              <w:jc w:val="right"/>
            </w:pPr>
            <w:r w:rsidRPr="00F4508B">
              <w:t>97,44</w:t>
            </w:r>
          </w:p>
        </w:tc>
      </w:tr>
    </w:tbl>
    <w:p w:rsidR="00F4508B" w:rsidRPr="00F4508B" w:rsidRDefault="00F4508B" w:rsidP="00F4508B">
      <w:pPr>
        <w:tabs>
          <w:tab w:val="left" w:pos="7866"/>
        </w:tabs>
        <w:jc w:val="both"/>
      </w:pPr>
    </w:p>
    <w:p w:rsidR="00F4508B" w:rsidRPr="00F4508B" w:rsidRDefault="00F4508B" w:rsidP="00F4508B">
      <w:pPr>
        <w:tabs>
          <w:tab w:val="left" w:pos="7866"/>
        </w:tabs>
        <w:jc w:val="both"/>
      </w:pPr>
      <w:r w:rsidRPr="00F4508B">
        <w:t>Az intézmény kiadásai a módosított előirányzat 97,44 %-át képezik.</w:t>
      </w:r>
    </w:p>
    <w:p w:rsidR="00F4508B" w:rsidRPr="00F4508B" w:rsidRDefault="00F4508B" w:rsidP="00F4508B">
      <w:pPr>
        <w:tabs>
          <w:tab w:val="left" w:pos="7866"/>
        </w:tabs>
        <w:jc w:val="both"/>
      </w:pPr>
    </w:p>
    <w:p w:rsidR="00F4508B" w:rsidRPr="00F4508B" w:rsidRDefault="00F4508B" w:rsidP="00F4508B">
      <w:pPr>
        <w:tabs>
          <w:tab w:val="left" w:pos="7866"/>
        </w:tabs>
        <w:jc w:val="both"/>
      </w:pPr>
      <w:r w:rsidRPr="00F4508B">
        <w:t xml:space="preserve">A kiadási előirányzatok és kiadások tartalmazzák a TOP-5.1.2-15-TL1-2016-00001 számú, a helyi foglalkoztatási együttműködések (Bonyhádi Paktum) kiadásait. A projekthez tartozó előirányzatok 15.829.203.- Ft-ot képeznek, míg a felmerült kiadások 13.320.148.- Ft-összegűek. A projekt zárás 2020. I. negyedévében megtörtént. Előirányzati maradvány a 2020. évre áthúzódó kiadások miatt keletkezett, döntő részben személyi juttatás és járulékán. </w:t>
      </w:r>
      <w:r w:rsidRPr="00F4508B">
        <w:lastRenderedPageBreak/>
        <w:t xml:space="preserve">A program a tervezettnek megfelelően megvalósult. </w:t>
      </w:r>
    </w:p>
    <w:p w:rsidR="00F4508B" w:rsidRPr="00F4508B" w:rsidRDefault="00F4508B" w:rsidP="00F4508B">
      <w:pPr>
        <w:tabs>
          <w:tab w:val="left" w:pos="7866"/>
        </w:tabs>
        <w:jc w:val="both"/>
      </w:pPr>
    </w:p>
    <w:p w:rsidR="00F4508B" w:rsidRPr="00F4508B" w:rsidRDefault="00F4508B" w:rsidP="00F4508B">
      <w:pPr>
        <w:tabs>
          <w:tab w:val="left" w:pos="7866"/>
        </w:tabs>
        <w:jc w:val="both"/>
      </w:pPr>
      <w:r w:rsidRPr="00F4508B">
        <w:t>Az intézmény személyi juttatásának eredeti előirányzata az év során az ágazatra vonatkozó szabályok alapján fizetendő járandóságok miatt bérkompenzáció, ágazati pótlék, szakképzési hozzájárulás, valamint a szakképzéshez kapcsolódó kifizetések következtében emelkedett.</w:t>
      </w:r>
    </w:p>
    <w:p w:rsidR="00F4508B" w:rsidRPr="00F4508B" w:rsidRDefault="00F4508B" w:rsidP="00F4508B">
      <w:pPr>
        <w:tabs>
          <w:tab w:val="left" w:pos="7866"/>
        </w:tabs>
        <w:jc w:val="both"/>
      </w:pPr>
      <w:r w:rsidRPr="00F4508B">
        <w:t xml:space="preserve">Az év során az intézménynél a munkaerőmozgáshoz kapcsolódóan időlegesen néhány álláshely betöltetlen volt. Az emiatt keletkező bérmaradványt a Társulási Tanács a 26/2019. (XII.17.) </w:t>
      </w:r>
      <w:proofErr w:type="spellStart"/>
      <w:r w:rsidRPr="00F4508B">
        <w:t>VÖTth</w:t>
      </w:r>
      <w:proofErr w:type="spellEnd"/>
      <w:r w:rsidRPr="00F4508B">
        <w:t xml:space="preserve"> határozatával elvonta. </w:t>
      </w:r>
    </w:p>
    <w:p w:rsidR="00F4508B" w:rsidRPr="00F4508B" w:rsidRDefault="00F4508B" w:rsidP="00F4508B">
      <w:pPr>
        <w:tabs>
          <w:tab w:val="left" w:pos="7866"/>
        </w:tabs>
        <w:jc w:val="both"/>
      </w:pPr>
      <w:r w:rsidRPr="00F4508B">
        <w:t xml:space="preserve">A kifizetések összege a pályázati forrásból fizetett személyi juttatások nélkül számítva a módosított előirányzat összegének 99,52 %-át képezik. </w:t>
      </w:r>
    </w:p>
    <w:p w:rsidR="00F4508B" w:rsidRPr="00F4508B" w:rsidRDefault="00F4508B" w:rsidP="00F4508B">
      <w:pPr>
        <w:tabs>
          <w:tab w:val="left" w:pos="7866"/>
        </w:tabs>
        <w:jc w:val="both"/>
      </w:pPr>
      <w:r w:rsidRPr="00F4508B">
        <w:t>A juttatások kifizetése a vonatkozó jogszabályoknak megfelelően megtörtént.</w:t>
      </w:r>
    </w:p>
    <w:p w:rsidR="00F4508B" w:rsidRPr="00F4508B" w:rsidRDefault="00F4508B" w:rsidP="00F4508B">
      <w:pPr>
        <w:tabs>
          <w:tab w:val="left" w:pos="7866"/>
        </w:tabs>
        <w:jc w:val="both"/>
      </w:pPr>
      <w:r w:rsidRPr="00F4508B">
        <w:t>A munkaadókat terhelő járulékok előirányzat felhasználása a pályázati forráshoz tartozó járulékok nélkül számítva a módosított előirányzat 95,22 %-át képezi.</w:t>
      </w:r>
    </w:p>
    <w:p w:rsidR="00F4508B" w:rsidRPr="00F4508B" w:rsidRDefault="00F4508B" w:rsidP="00F4508B">
      <w:pPr>
        <w:tabs>
          <w:tab w:val="left" w:pos="7866"/>
        </w:tabs>
        <w:jc w:val="both"/>
      </w:pPr>
      <w:r w:rsidRPr="00F4508B">
        <w:t xml:space="preserve">Alulteljesítés döntő részben a rehabilitált foglalkoztatottak miatti alacsonyabb járulékteher következtében, másrészt pedig a bérmaradványok összegéhez kapcsolódóan van. </w:t>
      </w:r>
    </w:p>
    <w:p w:rsidR="00F4508B" w:rsidRPr="00F4508B" w:rsidRDefault="00F4508B" w:rsidP="00F4508B">
      <w:pPr>
        <w:tabs>
          <w:tab w:val="left" w:pos="7866"/>
        </w:tabs>
        <w:jc w:val="both"/>
      </w:pPr>
      <w:r w:rsidRPr="00F4508B">
        <w:t xml:space="preserve">A dologi kiadások 49.207.000.- Ft összegű eredeti előirányzata egyrészt fenntartó, másrészt az átvett pénzeszköz forrása terhére került megemelésre, együttesen 2.639.026.- Ft összeggel, amelyből 635.000.- Ft-ot képezett a fenntartói döntés alapján </w:t>
      </w:r>
      <w:proofErr w:type="gramStart"/>
      <w:r w:rsidRPr="00F4508B">
        <w:t>a  vásárolt</w:t>
      </w:r>
      <w:proofErr w:type="gramEnd"/>
      <w:r w:rsidRPr="00F4508B">
        <w:t xml:space="preserve"> élelmezés pótelőirányzata. </w:t>
      </w:r>
    </w:p>
    <w:p w:rsidR="00F4508B" w:rsidRPr="00F4508B" w:rsidRDefault="00F4508B" w:rsidP="00F4508B">
      <w:pPr>
        <w:tabs>
          <w:tab w:val="left" w:pos="7866"/>
        </w:tabs>
        <w:jc w:val="both"/>
      </w:pPr>
      <w:r w:rsidRPr="00F4508B">
        <w:t xml:space="preserve">A szakképzési hozzájárulás terhére további 2.004.026.- Ft előirányzat emelésre volt lehetőség, melyeket követően a dologi kiadások módosított előirányzata 51.846.026.- Ft-ra emelkedett. A felhasználás 97,83 %-os mértékű. Maradvány keletkezett az áramdíjaknál, a gépjárművek karbantartási kiadásainál, a szakmai tevékenységet segítő szolgáltatásoknál, valamint az ingatlan karbantartásnál. </w:t>
      </w:r>
    </w:p>
    <w:p w:rsidR="00F4508B" w:rsidRPr="00F4508B" w:rsidRDefault="00F4508B" w:rsidP="00F4508B">
      <w:pPr>
        <w:tabs>
          <w:tab w:val="left" w:pos="7866"/>
        </w:tabs>
        <w:jc w:val="both"/>
      </w:pPr>
    </w:p>
    <w:p w:rsidR="00F4508B" w:rsidRPr="00F4508B" w:rsidRDefault="00F4508B" w:rsidP="00F4508B">
      <w:pPr>
        <w:tabs>
          <w:tab w:val="left" w:pos="7866"/>
        </w:tabs>
        <w:jc w:val="both"/>
      </w:pPr>
      <w:r w:rsidRPr="00F4508B">
        <w:t xml:space="preserve">Beruházási kiadásra 1.805.000.- Ft került elkülönítésre, amely a számítógépek beszerzésének kiadásait tartalmazta. </w:t>
      </w:r>
    </w:p>
    <w:p w:rsidR="00F4508B" w:rsidRPr="00F4508B" w:rsidRDefault="00F4508B" w:rsidP="00F4508B">
      <w:pPr>
        <w:tabs>
          <w:tab w:val="left" w:pos="7866"/>
        </w:tabs>
        <w:jc w:val="both"/>
      </w:pPr>
      <w:r w:rsidRPr="00F4508B">
        <w:t xml:space="preserve">A számítógépek beszerzése más forrás terhére valósult meg. A megmaradó előirányzat, az intézményi tartalék, az érkezett szakképzési hozzájárulás lehetőséget </w:t>
      </w:r>
      <w:proofErr w:type="gramStart"/>
      <w:r w:rsidRPr="00F4508B">
        <w:t>biztosított  az</w:t>
      </w:r>
      <w:proofErr w:type="gramEnd"/>
      <w:r w:rsidRPr="00F4508B">
        <w:t xml:space="preserve"> intézményben egy új gépjármű beszerezésére. A felmerülő kiadások együttes összege 12.046.958.- Ft volt. </w:t>
      </w:r>
    </w:p>
    <w:p w:rsidR="00F4508B" w:rsidRPr="00F4508B" w:rsidRDefault="00F4508B" w:rsidP="00F4508B">
      <w:pPr>
        <w:tabs>
          <w:tab w:val="left" w:pos="7866"/>
        </w:tabs>
        <w:jc w:val="both"/>
      </w:pPr>
    </w:p>
    <w:p w:rsidR="00F4508B" w:rsidRPr="00F4508B" w:rsidRDefault="00F4508B" w:rsidP="00F4508B">
      <w:pPr>
        <w:tabs>
          <w:tab w:val="left" w:pos="7866"/>
        </w:tabs>
        <w:jc w:val="both"/>
      </w:pPr>
      <w:r w:rsidRPr="00F4508B">
        <w:t>Az intézmény előző évi pénzmaradványából képzett tartaléka 500.671.- volt, felosztása a 2018. évről szóló beszámoló Társulási Tanács általi elfogadását követően megtörtént.</w:t>
      </w:r>
    </w:p>
    <w:p w:rsidR="00A51DE3" w:rsidRPr="00F4508B" w:rsidRDefault="00A51DE3" w:rsidP="00A51DE3">
      <w:pPr>
        <w:widowControl/>
        <w:tabs>
          <w:tab w:val="left" w:pos="7866"/>
        </w:tabs>
        <w:spacing w:line="276" w:lineRule="auto"/>
        <w:jc w:val="both"/>
        <w:rPr>
          <w:rFonts w:eastAsia="Calibri"/>
          <w:lang w:eastAsia="ar-SA"/>
        </w:rPr>
      </w:pPr>
    </w:p>
    <w:p w:rsidR="001174B9" w:rsidRPr="00F4508B" w:rsidRDefault="001174B9" w:rsidP="001174B9">
      <w:pPr>
        <w:jc w:val="both"/>
        <w:rPr>
          <w:b/>
          <w:u w:val="single"/>
        </w:rPr>
      </w:pPr>
      <w:r w:rsidRPr="00F4508B">
        <w:rPr>
          <w:b/>
          <w:u w:val="single"/>
        </w:rPr>
        <w:t>Határozati javaslat</w:t>
      </w:r>
    </w:p>
    <w:p w:rsidR="001174B9" w:rsidRPr="00F4508B" w:rsidRDefault="001174B9" w:rsidP="001174B9">
      <w:pPr>
        <w:jc w:val="both"/>
      </w:pPr>
    </w:p>
    <w:p w:rsidR="001174B9" w:rsidRPr="00F4508B" w:rsidRDefault="001174B9" w:rsidP="006A1D7A">
      <w:pPr>
        <w:jc w:val="both"/>
        <w:rPr>
          <w:lang w:bidi="he-IL"/>
        </w:rPr>
      </w:pPr>
      <w:r w:rsidRPr="00F4508B">
        <w:t xml:space="preserve">Bonyhád Város Önkormányzat Képviselő-testülete </w:t>
      </w:r>
      <w:r w:rsidR="00BA6303" w:rsidRPr="00F4508B">
        <w:t>a Völgységi Önkormányzatok Társulása 201</w:t>
      </w:r>
      <w:r w:rsidR="00F4508B">
        <w:t>9</w:t>
      </w:r>
      <w:r w:rsidR="00BA6303" w:rsidRPr="00F4508B">
        <w:t xml:space="preserve">. évi </w:t>
      </w:r>
      <w:r w:rsidR="00BA6303" w:rsidRPr="00F4508B">
        <w:rPr>
          <w:rFonts w:eastAsia="Calibri"/>
          <w:lang w:eastAsia="en-US"/>
        </w:rPr>
        <w:t xml:space="preserve">költségvetésének végrehajtásáról szóló határozatot a határozat 1. melléklete szerinti tartalommal </w:t>
      </w:r>
      <w:r w:rsidR="00D57664">
        <w:rPr>
          <w:rFonts w:eastAsia="Calibri"/>
          <w:lang w:eastAsia="en-US"/>
        </w:rPr>
        <w:t>hagyja jóvá</w:t>
      </w:r>
      <w:r w:rsidR="00BA6303" w:rsidRPr="00F4508B">
        <w:rPr>
          <w:rFonts w:eastAsia="Calibri"/>
          <w:lang w:eastAsia="en-US"/>
        </w:rPr>
        <w:t>.</w:t>
      </w:r>
    </w:p>
    <w:p w:rsidR="00817BDA" w:rsidRPr="00F4508B" w:rsidRDefault="00817BDA" w:rsidP="006A1D7A">
      <w:pPr>
        <w:ind w:left="360"/>
        <w:jc w:val="both"/>
      </w:pPr>
    </w:p>
    <w:p w:rsidR="001174B9" w:rsidRPr="00F4508B" w:rsidRDefault="001174B9" w:rsidP="001174B9">
      <w:pPr>
        <w:pStyle w:val="Default"/>
      </w:pPr>
      <w:r w:rsidRPr="00F4508B">
        <w:t xml:space="preserve">Határidő: </w:t>
      </w:r>
      <w:r w:rsidR="00BA6303" w:rsidRPr="00F4508B">
        <w:rPr>
          <w:b/>
          <w:bCs/>
        </w:rPr>
        <w:t>-</w:t>
      </w:r>
    </w:p>
    <w:p w:rsidR="001174B9" w:rsidRPr="00F4508B" w:rsidRDefault="001174B9" w:rsidP="001174B9">
      <w:pPr>
        <w:pStyle w:val="Default"/>
      </w:pPr>
      <w:r w:rsidRPr="00F4508B">
        <w:t>Felelős: Filóné Ferencz Ibolya polgármester</w:t>
      </w:r>
      <w:r w:rsidRPr="00F4508B">
        <w:br/>
        <w:t>Végrehajtásért felelős: Dr. Puskásné Dr. Szeghy Petra Nóra</w:t>
      </w:r>
      <w:r w:rsidR="00BA6303" w:rsidRPr="00F4508B">
        <w:t xml:space="preserve"> – a határozat megküldésére</w:t>
      </w:r>
    </w:p>
    <w:p w:rsidR="004A4F81" w:rsidRPr="00F4508B" w:rsidRDefault="004A4F81" w:rsidP="004A4F81"/>
    <w:p w:rsidR="00A75787" w:rsidRPr="00F4508B" w:rsidRDefault="00347F7B">
      <w:r w:rsidRPr="00F4508B">
        <w:t>Bonyhád, 20</w:t>
      </w:r>
      <w:r w:rsidR="00F4508B">
        <w:t>20</w:t>
      </w:r>
      <w:r w:rsidRPr="00F4508B">
        <w:t xml:space="preserve">. </w:t>
      </w:r>
      <w:r w:rsidR="00F4508B">
        <w:t>június</w:t>
      </w:r>
      <w:r w:rsidR="00BC765F" w:rsidRPr="00F4508B">
        <w:t xml:space="preserve"> </w:t>
      </w:r>
      <w:r w:rsidR="00F4508B">
        <w:t>8.</w:t>
      </w:r>
    </w:p>
    <w:p w:rsidR="00A75787" w:rsidRPr="00F4508B" w:rsidRDefault="00A75787">
      <w:pPr>
        <w:rPr>
          <w:b/>
        </w:rPr>
      </w:pPr>
    </w:p>
    <w:p w:rsidR="00A75787" w:rsidRPr="00F4508B" w:rsidRDefault="009028CD" w:rsidP="00E709EB">
      <w:pPr>
        <w:ind w:left="2124" w:firstLine="708"/>
        <w:jc w:val="center"/>
      </w:pPr>
      <w:r w:rsidRPr="00F4508B">
        <w:t>Filóné Ferencz Ibolya</w:t>
      </w:r>
    </w:p>
    <w:p w:rsidR="00496561" w:rsidRPr="00F4508B" w:rsidRDefault="009028CD" w:rsidP="00FD73B5">
      <w:pPr>
        <w:ind w:left="2124" w:firstLine="708"/>
      </w:pPr>
      <w:r w:rsidRPr="00F4508B">
        <w:tab/>
      </w:r>
      <w:r w:rsidRPr="00F4508B">
        <w:tab/>
      </w:r>
      <w:r w:rsidRPr="00F4508B">
        <w:tab/>
        <w:t xml:space="preserve">       polgármester</w:t>
      </w:r>
    </w:p>
    <w:sectPr w:rsidR="00496561" w:rsidRPr="00F4508B" w:rsidSect="003E1510">
      <w:headerReference w:type="default" r:id="rId7"/>
      <w:headerReference w:type="first" r:id="rId8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799" w:rsidRDefault="00112799" w:rsidP="00617B8D">
      <w:r>
        <w:separator/>
      </w:r>
    </w:p>
  </w:endnote>
  <w:endnote w:type="continuationSeparator" w:id="0">
    <w:p w:rsidR="00112799" w:rsidRDefault="00112799" w:rsidP="0061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799" w:rsidRDefault="00112799" w:rsidP="00617B8D">
      <w:r>
        <w:separator/>
      </w:r>
    </w:p>
  </w:footnote>
  <w:footnote w:type="continuationSeparator" w:id="0">
    <w:p w:rsidR="00112799" w:rsidRDefault="00112799" w:rsidP="0061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B9" w:rsidRPr="00AE7134" w:rsidRDefault="00A11263" w:rsidP="00D22D58">
    <w:pPr>
      <w:pStyle w:val="lfej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6145" type="#_x0000_t202" style="position:absolute;margin-left:-36pt;margin-top:-9.55pt;width:99pt;height:90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" filled="f" stroked="f">
          <v:textbox>
            <w:txbxContent>
              <w:p w:rsidR="001174B9" w:rsidRDefault="001174B9" w:rsidP="00D22D58">
                <w:r>
                  <w:rPr>
                    <w:b/>
                    <w:bCs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 w:rsidR="001174B9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1789430</wp:posOffset>
          </wp:positionV>
          <wp:extent cx="5829300" cy="4457700"/>
          <wp:effectExtent l="19050" t="0" r="0" b="0"/>
          <wp:wrapNone/>
          <wp:docPr id="22" name="Kép 22" descr="Bonyhád címere j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Bonyhád címere jó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6000" contrast="-74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445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510" w:rsidRDefault="003E1510" w:rsidP="003E1510">
    <w:pPr>
      <w:pStyle w:val="lfej"/>
      <w:jc w:val="right"/>
      <w:rPr>
        <w:b/>
        <w:sz w:val="36"/>
        <w:szCs w:val="36"/>
      </w:rPr>
    </w:pPr>
    <w:r>
      <w:tab/>
    </w:r>
    <w:r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-192405</wp:posOffset>
          </wp:positionV>
          <wp:extent cx="1285875" cy="885825"/>
          <wp:effectExtent l="19050" t="0" r="9525" b="0"/>
          <wp:wrapNone/>
          <wp:docPr id="1" name="Kép 0" descr="cimerh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cimerh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36"/>
        <w:szCs w:val="36"/>
      </w:rPr>
      <w:t>Bonyhád Város Önkormányzata</w:t>
    </w:r>
  </w:p>
  <w:p w:rsidR="003E1510" w:rsidRDefault="003E1510" w:rsidP="003E1510">
    <w:pPr>
      <w:pStyle w:val="lfej"/>
      <w:jc w:val="right"/>
      <w:rPr>
        <w:b/>
        <w:sz w:val="36"/>
        <w:szCs w:val="36"/>
      </w:rPr>
    </w:pPr>
  </w:p>
  <w:p w:rsidR="003E1510" w:rsidRPr="003E1510" w:rsidRDefault="003E1510" w:rsidP="003E1510">
    <w:pPr>
      <w:pStyle w:val="lfej"/>
      <w:jc w:val="center"/>
      <w:rPr>
        <w:b/>
        <w:sz w:val="36"/>
        <w:szCs w:val="36"/>
      </w:rPr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7" type="#_x0000_t32" style="position:absolute;left:0;text-align:left;margin-left:-34.1pt;margin-top:14.7pt;width:524.25pt;height:0;z-index:25166540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DDD"/>
    <w:multiLevelType w:val="multilevel"/>
    <w:tmpl w:val="A48401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34" w:hanging="450"/>
      </w:pPr>
      <w:rPr>
        <w:rFonts w:cs="Times New Roman"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16A209AC"/>
    <w:multiLevelType w:val="hybridMultilevel"/>
    <w:tmpl w:val="59266B7E"/>
    <w:lvl w:ilvl="0" w:tplc="040E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E000F">
      <w:start w:val="1"/>
      <w:numFmt w:val="decimal"/>
      <w:lvlText w:val="%2."/>
      <w:lvlJc w:val="left"/>
      <w:pPr>
        <w:ind w:left="2007" w:hanging="360"/>
      </w:pPr>
      <w:rPr>
        <w:rFonts w:cs="Times New Roman" w:hint="default"/>
      </w:rPr>
    </w:lvl>
    <w:lvl w:ilvl="2" w:tplc="293C5BA2">
      <w:start w:val="2"/>
      <w:numFmt w:val="decimal"/>
      <w:lvlText w:val="%3"/>
      <w:lvlJc w:val="left"/>
      <w:pPr>
        <w:ind w:left="2907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B7F6379"/>
    <w:multiLevelType w:val="hybridMultilevel"/>
    <w:tmpl w:val="9D381C9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367"/>
    <w:multiLevelType w:val="hybridMultilevel"/>
    <w:tmpl w:val="98462806"/>
    <w:lvl w:ilvl="0" w:tplc="040E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503D0240"/>
    <w:multiLevelType w:val="hybridMultilevel"/>
    <w:tmpl w:val="9846280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6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22914"/>
    <w:rsid w:val="00002ADE"/>
    <w:rsid w:val="0000323A"/>
    <w:rsid w:val="000130EA"/>
    <w:rsid w:val="000164DE"/>
    <w:rsid w:val="000178F7"/>
    <w:rsid w:val="0002703E"/>
    <w:rsid w:val="000428FA"/>
    <w:rsid w:val="000539F1"/>
    <w:rsid w:val="00063DDE"/>
    <w:rsid w:val="0008140E"/>
    <w:rsid w:val="00086EB0"/>
    <w:rsid w:val="000902E4"/>
    <w:rsid w:val="000B2D49"/>
    <w:rsid w:val="000B3363"/>
    <w:rsid w:val="000B4E20"/>
    <w:rsid w:val="000C79B8"/>
    <w:rsid w:val="000E6945"/>
    <w:rsid w:val="000F54D0"/>
    <w:rsid w:val="001063BB"/>
    <w:rsid w:val="00107B54"/>
    <w:rsid w:val="00112799"/>
    <w:rsid w:val="001174B9"/>
    <w:rsid w:val="0012046C"/>
    <w:rsid w:val="00130E81"/>
    <w:rsid w:val="00137333"/>
    <w:rsid w:val="0014215C"/>
    <w:rsid w:val="001520ED"/>
    <w:rsid w:val="00152238"/>
    <w:rsid w:val="00152853"/>
    <w:rsid w:val="00153A18"/>
    <w:rsid w:val="00156C55"/>
    <w:rsid w:val="0018164F"/>
    <w:rsid w:val="0018449B"/>
    <w:rsid w:val="001E7568"/>
    <w:rsid w:val="00207F59"/>
    <w:rsid w:val="00216B41"/>
    <w:rsid w:val="00225E99"/>
    <w:rsid w:val="00233942"/>
    <w:rsid w:val="00235596"/>
    <w:rsid w:val="00237BAC"/>
    <w:rsid w:val="00237F3E"/>
    <w:rsid w:val="002525D3"/>
    <w:rsid w:val="002579F3"/>
    <w:rsid w:val="00291EB6"/>
    <w:rsid w:val="002A3D4F"/>
    <w:rsid w:val="002A6456"/>
    <w:rsid w:val="002B1F0F"/>
    <w:rsid w:val="002B2839"/>
    <w:rsid w:val="002B63EC"/>
    <w:rsid w:val="002C0326"/>
    <w:rsid w:val="002C2519"/>
    <w:rsid w:val="002E2D3A"/>
    <w:rsid w:val="002F25DF"/>
    <w:rsid w:val="002F5584"/>
    <w:rsid w:val="002F57BF"/>
    <w:rsid w:val="00300525"/>
    <w:rsid w:val="003054F4"/>
    <w:rsid w:val="00306301"/>
    <w:rsid w:val="00314A95"/>
    <w:rsid w:val="00315D02"/>
    <w:rsid w:val="00315D51"/>
    <w:rsid w:val="00325C53"/>
    <w:rsid w:val="003461C1"/>
    <w:rsid w:val="00347F7B"/>
    <w:rsid w:val="003501EF"/>
    <w:rsid w:val="003524AE"/>
    <w:rsid w:val="00354E54"/>
    <w:rsid w:val="0035660F"/>
    <w:rsid w:val="003617D9"/>
    <w:rsid w:val="00363A75"/>
    <w:rsid w:val="003655BC"/>
    <w:rsid w:val="00380D5D"/>
    <w:rsid w:val="003837F1"/>
    <w:rsid w:val="003974F2"/>
    <w:rsid w:val="003A06C6"/>
    <w:rsid w:val="003A2FD7"/>
    <w:rsid w:val="003A453B"/>
    <w:rsid w:val="003C745B"/>
    <w:rsid w:val="003D4AD4"/>
    <w:rsid w:val="003E1510"/>
    <w:rsid w:val="003E6150"/>
    <w:rsid w:val="003F6E41"/>
    <w:rsid w:val="00405DEF"/>
    <w:rsid w:val="004163B9"/>
    <w:rsid w:val="00441BCA"/>
    <w:rsid w:val="00445825"/>
    <w:rsid w:val="00450AD1"/>
    <w:rsid w:val="00464EFE"/>
    <w:rsid w:val="00473DC8"/>
    <w:rsid w:val="004831AA"/>
    <w:rsid w:val="00496561"/>
    <w:rsid w:val="004A2A5C"/>
    <w:rsid w:val="004A3ADC"/>
    <w:rsid w:val="004A4F81"/>
    <w:rsid w:val="004A77C3"/>
    <w:rsid w:val="004B606B"/>
    <w:rsid w:val="004C2D57"/>
    <w:rsid w:val="00502A1F"/>
    <w:rsid w:val="00503B3A"/>
    <w:rsid w:val="00504AA1"/>
    <w:rsid w:val="00511203"/>
    <w:rsid w:val="00525DAC"/>
    <w:rsid w:val="00547F82"/>
    <w:rsid w:val="00555394"/>
    <w:rsid w:val="00566D02"/>
    <w:rsid w:val="005758E0"/>
    <w:rsid w:val="0058730B"/>
    <w:rsid w:val="00594423"/>
    <w:rsid w:val="005972B0"/>
    <w:rsid w:val="005B28F0"/>
    <w:rsid w:val="005C142C"/>
    <w:rsid w:val="005C1CE9"/>
    <w:rsid w:val="005E1B59"/>
    <w:rsid w:val="00604AEC"/>
    <w:rsid w:val="00611917"/>
    <w:rsid w:val="00617B8D"/>
    <w:rsid w:val="00622914"/>
    <w:rsid w:val="006252EE"/>
    <w:rsid w:val="0065577A"/>
    <w:rsid w:val="006619A2"/>
    <w:rsid w:val="006928ED"/>
    <w:rsid w:val="006A1868"/>
    <w:rsid w:val="006A1D7A"/>
    <w:rsid w:val="006A5349"/>
    <w:rsid w:val="006A5F30"/>
    <w:rsid w:val="006B7D3E"/>
    <w:rsid w:val="006C0DE6"/>
    <w:rsid w:val="006C65C4"/>
    <w:rsid w:val="006E35B1"/>
    <w:rsid w:val="007007A6"/>
    <w:rsid w:val="00702098"/>
    <w:rsid w:val="007052BD"/>
    <w:rsid w:val="007066F8"/>
    <w:rsid w:val="00713E6C"/>
    <w:rsid w:val="00726629"/>
    <w:rsid w:val="00734E4D"/>
    <w:rsid w:val="00735726"/>
    <w:rsid w:val="007428CC"/>
    <w:rsid w:val="007545E5"/>
    <w:rsid w:val="007550DC"/>
    <w:rsid w:val="00762D63"/>
    <w:rsid w:val="0077359D"/>
    <w:rsid w:val="007E2882"/>
    <w:rsid w:val="007E510D"/>
    <w:rsid w:val="007E5CE0"/>
    <w:rsid w:val="007F4CEF"/>
    <w:rsid w:val="00803133"/>
    <w:rsid w:val="00817BDA"/>
    <w:rsid w:val="008217AE"/>
    <w:rsid w:val="0083097E"/>
    <w:rsid w:val="00847778"/>
    <w:rsid w:val="00865C86"/>
    <w:rsid w:val="00867A0C"/>
    <w:rsid w:val="00883042"/>
    <w:rsid w:val="008940B6"/>
    <w:rsid w:val="00895ED8"/>
    <w:rsid w:val="008B21D1"/>
    <w:rsid w:val="008B54F4"/>
    <w:rsid w:val="008C2D8B"/>
    <w:rsid w:val="008D71B6"/>
    <w:rsid w:val="008F0E37"/>
    <w:rsid w:val="00901CB6"/>
    <w:rsid w:val="009028CD"/>
    <w:rsid w:val="00907811"/>
    <w:rsid w:val="00910852"/>
    <w:rsid w:val="00913D87"/>
    <w:rsid w:val="009225CF"/>
    <w:rsid w:val="0092477E"/>
    <w:rsid w:val="0092483F"/>
    <w:rsid w:val="00935F7A"/>
    <w:rsid w:val="00946360"/>
    <w:rsid w:val="00957D70"/>
    <w:rsid w:val="009731F6"/>
    <w:rsid w:val="00975F72"/>
    <w:rsid w:val="00996281"/>
    <w:rsid w:val="009A304C"/>
    <w:rsid w:val="009B3A29"/>
    <w:rsid w:val="009C0438"/>
    <w:rsid w:val="009C319D"/>
    <w:rsid w:val="009C48D4"/>
    <w:rsid w:val="009E2560"/>
    <w:rsid w:val="009E2F65"/>
    <w:rsid w:val="009F40ED"/>
    <w:rsid w:val="00A01251"/>
    <w:rsid w:val="00A07428"/>
    <w:rsid w:val="00A11263"/>
    <w:rsid w:val="00A16ABB"/>
    <w:rsid w:val="00A2233B"/>
    <w:rsid w:val="00A361E5"/>
    <w:rsid w:val="00A51DE3"/>
    <w:rsid w:val="00A5260E"/>
    <w:rsid w:val="00A52615"/>
    <w:rsid w:val="00A5333C"/>
    <w:rsid w:val="00A640C8"/>
    <w:rsid w:val="00A64ABB"/>
    <w:rsid w:val="00A75787"/>
    <w:rsid w:val="00A75D92"/>
    <w:rsid w:val="00A92FB3"/>
    <w:rsid w:val="00AA4780"/>
    <w:rsid w:val="00AA4D36"/>
    <w:rsid w:val="00AC7CB9"/>
    <w:rsid w:val="00AD5166"/>
    <w:rsid w:val="00AD70AD"/>
    <w:rsid w:val="00AE49F0"/>
    <w:rsid w:val="00AE7134"/>
    <w:rsid w:val="00B02F4F"/>
    <w:rsid w:val="00B04103"/>
    <w:rsid w:val="00B1549D"/>
    <w:rsid w:val="00B15F8B"/>
    <w:rsid w:val="00B24334"/>
    <w:rsid w:val="00B24E3E"/>
    <w:rsid w:val="00B364AA"/>
    <w:rsid w:val="00B568AD"/>
    <w:rsid w:val="00B6275C"/>
    <w:rsid w:val="00B87B29"/>
    <w:rsid w:val="00BA483D"/>
    <w:rsid w:val="00BA4F12"/>
    <w:rsid w:val="00BA58B2"/>
    <w:rsid w:val="00BA6303"/>
    <w:rsid w:val="00BC0E93"/>
    <w:rsid w:val="00BC46A5"/>
    <w:rsid w:val="00BC765F"/>
    <w:rsid w:val="00BD1495"/>
    <w:rsid w:val="00C400E6"/>
    <w:rsid w:val="00C50B5F"/>
    <w:rsid w:val="00C64393"/>
    <w:rsid w:val="00C645DF"/>
    <w:rsid w:val="00C77A41"/>
    <w:rsid w:val="00C97962"/>
    <w:rsid w:val="00CA5C0D"/>
    <w:rsid w:val="00CC0662"/>
    <w:rsid w:val="00CC2796"/>
    <w:rsid w:val="00CD01F0"/>
    <w:rsid w:val="00CE729A"/>
    <w:rsid w:val="00D039AA"/>
    <w:rsid w:val="00D039C6"/>
    <w:rsid w:val="00D13B0E"/>
    <w:rsid w:val="00D15439"/>
    <w:rsid w:val="00D158C2"/>
    <w:rsid w:val="00D206AF"/>
    <w:rsid w:val="00D22D58"/>
    <w:rsid w:val="00D30DB9"/>
    <w:rsid w:val="00D31DBA"/>
    <w:rsid w:val="00D3202E"/>
    <w:rsid w:val="00D33AE8"/>
    <w:rsid w:val="00D41677"/>
    <w:rsid w:val="00D558B2"/>
    <w:rsid w:val="00D57664"/>
    <w:rsid w:val="00D60DE4"/>
    <w:rsid w:val="00D76375"/>
    <w:rsid w:val="00D84D31"/>
    <w:rsid w:val="00D951F4"/>
    <w:rsid w:val="00DB79D3"/>
    <w:rsid w:val="00DF5AD0"/>
    <w:rsid w:val="00DF7C78"/>
    <w:rsid w:val="00E04CC7"/>
    <w:rsid w:val="00E06E68"/>
    <w:rsid w:val="00E0798C"/>
    <w:rsid w:val="00E24ED8"/>
    <w:rsid w:val="00E25550"/>
    <w:rsid w:val="00E347D2"/>
    <w:rsid w:val="00E4692C"/>
    <w:rsid w:val="00E47122"/>
    <w:rsid w:val="00E544C4"/>
    <w:rsid w:val="00E65861"/>
    <w:rsid w:val="00E67CA4"/>
    <w:rsid w:val="00E709EB"/>
    <w:rsid w:val="00E7484C"/>
    <w:rsid w:val="00EA38C0"/>
    <w:rsid w:val="00EA6B8E"/>
    <w:rsid w:val="00EB20B1"/>
    <w:rsid w:val="00EB7FB9"/>
    <w:rsid w:val="00EE3313"/>
    <w:rsid w:val="00EE6418"/>
    <w:rsid w:val="00F07D8B"/>
    <w:rsid w:val="00F105C1"/>
    <w:rsid w:val="00F15CF2"/>
    <w:rsid w:val="00F20E1D"/>
    <w:rsid w:val="00F223C6"/>
    <w:rsid w:val="00F34F4D"/>
    <w:rsid w:val="00F4054C"/>
    <w:rsid w:val="00F42F39"/>
    <w:rsid w:val="00F44F6C"/>
    <w:rsid w:val="00F4508B"/>
    <w:rsid w:val="00F56C97"/>
    <w:rsid w:val="00F65C15"/>
    <w:rsid w:val="00F80614"/>
    <w:rsid w:val="00F93408"/>
    <w:rsid w:val="00FD40F5"/>
    <w:rsid w:val="00FD73B5"/>
    <w:rsid w:val="00FE5616"/>
    <w:rsid w:val="00FF0B9D"/>
    <w:rsid w:val="00FF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2914"/>
    <w:pPr>
      <w:widowControl w:val="0"/>
      <w:suppressAutoHyphens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29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622914"/>
    <w:rPr>
      <w:rFonts w:ascii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622914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E544C4"/>
    <w:pPr>
      <w:ind w:left="720"/>
      <w:contextualSpacing/>
    </w:pPr>
  </w:style>
  <w:style w:type="paragraph" w:customStyle="1" w:styleId="cf0">
    <w:name w:val="cf0"/>
    <w:basedOn w:val="Norml"/>
    <w:uiPriority w:val="99"/>
    <w:rsid w:val="00F07D8B"/>
    <w:pPr>
      <w:widowControl/>
      <w:suppressAutoHyphens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uiPriority w:val="99"/>
    <w:rsid w:val="00F07D8B"/>
    <w:rPr>
      <w:rFonts w:cs="Times New Roman"/>
    </w:rPr>
  </w:style>
  <w:style w:type="paragraph" w:styleId="NormlWeb">
    <w:name w:val="Normal (Web)"/>
    <w:basedOn w:val="Norml"/>
    <w:uiPriority w:val="99"/>
    <w:semiHidden/>
    <w:rsid w:val="00F07D8B"/>
    <w:pPr>
      <w:widowControl/>
      <w:suppressAutoHyphens w:val="0"/>
      <w:spacing w:before="100" w:beforeAutospacing="1" w:after="100" w:afterAutospacing="1"/>
    </w:pPr>
  </w:style>
  <w:style w:type="character" w:styleId="Jegyzethivatkozs">
    <w:name w:val="annotation reference"/>
    <w:basedOn w:val="Bekezdsalapbettpusa"/>
    <w:uiPriority w:val="99"/>
    <w:semiHidden/>
    <w:rsid w:val="00975F72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975F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975F72"/>
    <w:rPr>
      <w:rFonts w:ascii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75F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975F72"/>
    <w:rPr>
      <w:rFonts w:ascii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975F7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975F7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4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Rcsostblzat">
    <w:name w:val="Table Grid"/>
    <w:basedOn w:val="Normltblzat"/>
    <w:uiPriority w:val="59"/>
    <w:locked/>
    <w:rsid w:val="00E079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">
    <w:name w:val="iceouttxt"/>
    <w:basedOn w:val="Bekezdsalapbettpusa"/>
    <w:rsid w:val="001174B9"/>
  </w:style>
  <w:style w:type="table" w:customStyle="1" w:styleId="Rcsostblzat1">
    <w:name w:val="Rácsos táblázat1"/>
    <w:basedOn w:val="Normltblzat"/>
    <w:next w:val="Rcsostblzat"/>
    <w:uiPriority w:val="59"/>
    <w:rsid w:val="00A51DE3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2111</Words>
  <Characters>14568</Characters>
  <Application>Microsoft Office Word</Application>
  <DocSecurity>0</DocSecurity>
  <Lines>121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16646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Satellite</dc:creator>
  <cp:lastModifiedBy>pedit</cp:lastModifiedBy>
  <cp:revision>3</cp:revision>
  <cp:lastPrinted>2019-05-23T06:32:00Z</cp:lastPrinted>
  <dcterms:created xsi:type="dcterms:W3CDTF">2020-06-08T06:15:00Z</dcterms:created>
  <dcterms:modified xsi:type="dcterms:W3CDTF">2020-06-17T05:46:00Z</dcterms:modified>
</cp:coreProperties>
</file>