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1B7" w:rsidRDefault="001121B7" w:rsidP="00B43008">
      <w:pPr>
        <w:jc w:val="both"/>
        <w:rPr>
          <w:rFonts w:ascii="Arial" w:hAnsi="Arial" w:cs="Arial"/>
          <w:sz w:val="26"/>
          <w:szCs w:val="26"/>
        </w:rPr>
      </w:pPr>
    </w:p>
    <w:p w:rsidR="001121B7" w:rsidRDefault="001121B7" w:rsidP="00B43008">
      <w:pPr>
        <w:jc w:val="both"/>
        <w:rPr>
          <w:rFonts w:ascii="Arial" w:hAnsi="Arial" w:cs="Arial"/>
          <w:sz w:val="26"/>
          <w:szCs w:val="26"/>
        </w:rPr>
      </w:pPr>
    </w:p>
    <w:p w:rsidR="001121B7" w:rsidRDefault="001121B7" w:rsidP="00C907E8">
      <w:pPr>
        <w:jc w:val="center"/>
        <w:rPr>
          <w:b/>
        </w:rPr>
      </w:pPr>
      <w:r w:rsidRPr="003E6150">
        <w:rPr>
          <w:b/>
        </w:rPr>
        <w:t>ELŐTERJESZTÉS</w:t>
      </w:r>
    </w:p>
    <w:p w:rsidR="001121B7" w:rsidRPr="003E6150" w:rsidRDefault="001121B7" w:rsidP="00C907E8">
      <w:pPr>
        <w:jc w:val="center"/>
        <w:rPr>
          <w:b/>
        </w:rPr>
      </w:pPr>
    </w:p>
    <w:p w:rsidR="001121B7" w:rsidRPr="00DD2A3C" w:rsidRDefault="001121B7" w:rsidP="00C907E8">
      <w:pPr>
        <w:jc w:val="center"/>
      </w:pPr>
      <w:r w:rsidRPr="00DD2A3C">
        <w:t xml:space="preserve">Bonyhád Város Képviselő - testületének </w:t>
      </w:r>
      <w:r w:rsidR="00C218BA">
        <w:t>2017</w:t>
      </w:r>
      <w:r w:rsidRPr="00DD2A3C">
        <w:t xml:space="preserve">. </w:t>
      </w:r>
      <w:r w:rsidR="00C218BA">
        <w:t>január 26</w:t>
      </w:r>
      <w:r w:rsidR="00DD2A3C" w:rsidRPr="00DD2A3C">
        <w:t>-i</w:t>
      </w:r>
    </w:p>
    <w:p w:rsidR="001121B7" w:rsidRPr="003E6150" w:rsidRDefault="001121B7" w:rsidP="00C907E8">
      <w:pPr>
        <w:jc w:val="center"/>
      </w:pPr>
      <w:r w:rsidRPr="00DD2A3C">
        <w:rPr>
          <w:u w:val="single"/>
        </w:rPr>
        <w:t>rendes</w:t>
      </w:r>
      <w:r w:rsidRPr="00DD2A3C">
        <w:t>/rendkívüli testületi ülésére</w:t>
      </w:r>
    </w:p>
    <w:p w:rsidR="001121B7" w:rsidRPr="003E6150" w:rsidRDefault="001121B7" w:rsidP="00C907E8"/>
    <w:p w:rsidR="001121B7" w:rsidRPr="003E6150" w:rsidRDefault="001121B7" w:rsidP="00C907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1121B7" w:rsidRPr="003E6150" w:rsidRDefault="00DD2A3C" w:rsidP="005276A6">
            <w:pPr>
              <w:rPr>
                <w:lang w:eastAsia="en-US"/>
              </w:rPr>
            </w:pPr>
            <w:r>
              <w:rPr>
                <w:lang w:eastAsia="en-US"/>
              </w:rPr>
              <w:t>Bon</w:t>
            </w:r>
            <w:r w:rsidR="00D57846">
              <w:rPr>
                <w:lang w:eastAsia="en-US"/>
              </w:rPr>
              <w:t>yhád Város Önkormányzatának 2017</w:t>
            </w:r>
            <w:r w:rsidR="001121B7">
              <w:rPr>
                <w:lang w:eastAsia="en-US"/>
              </w:rPr>
              <w:t>. évi közbeszerzési terv</w:t>
            </w:r>
            <w:r>
              <w:rPr>
                <w:lang w:eastAsia="en-US"/>
              </w:rPr>
              <w:t>e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F67B9E" w:rsidRDefault="001121B7" w:rsidP="00DF3C7F">
            <w:pPr>
              <w:rPr>
                <w:lang w:eastAsia="en-US"/>
              </w:rPr>
            </w:pPr>
            <w:r w:rsidRPr="00F67B9E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F67B9E">
              <w:rPr>
                <w:lang w:eastAsia="en-US"/>
              </w:rPr>
              <w:t>Dr. Puskásné Dr. Szeghy Petra jegyző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Előterjesztést készítette</w:t>
            </w:r>
            <w:r w:rsidRPr="003E6150">
              <w:rPr>
                <w:lang w:eastAsia="en-US"/>
              </w:rPr>
              <w:t>:</w:t>
            </w:r>
          </w:p>
        </w:tc>
        <w:tc>
          <w:tcPr>
            <w:tcW w:w="4606" w:type="dxa"/>
          </w:tcPr>
          <w:p w:rsidR="001121B7" w:rsidRPr="003E6150" w:rsidRDefault="00DD2A3C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Dr. Erményi Gyula aljegyző</w:t>
            </w:r>
          </w:p>
        </w:tc>
      </w:tr>
      <w:tr w:rsidR="001121B7" w:rsidRPr="004A77C3" w:rsidTr="00F078CC">
        <w:tc>
          <w:tcPr>
            <w:tcW w:w="4606" w:type="dxa"/>
          </w:tcPr>
          <w:p w:rsidR="001121B7" w:rsidRPr="004A77C3" w:rsidRDefault="001121B7" w:rsidP="00DF3C7F">
            <w:pPr>
              <w:rPr>
                <w:lang w:eastAsia="en-US"/>
              </w:rPr>
            </w:pPr>
            <w:r w:rsidRPr="004A77C3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1121B7" w:rsidRPr="004A77C3" w:rsidRDefault="002B605D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C76B16">
              <w:rPr>
                <w:lang w:eastAsia="en-US"/>
              </w:rPr>
              <w:t>.</w:t>
            </w:r>
            <w:r w:rsidR="00D47B43">
              <w:rPr>
                <w:lang w:eastAsia="en-US"/>
              </w:rPr>
              <w:t xml:space="preserve"> </w:t>
            </w:r>
            <w:r w:rsidR="00C76B16">
              <w:rPr>
                <w:lang w:eastAsia="en-US"/>
              </w:rPr>
              <w:t>sz.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Pénzügyi Ellenőrző és Gazdasági Bizottság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1121B7" w:rsidRDefault="001121B7" w:rsidP="00DF3C7F">
            <w:pPr>
              <w:rPr>
                <w:lang w:eastAsia="en-US"/>
              </w:rPr>
            </w:pPr>
          </w:p>
          <w:p w:rsidR="001121B7" w:rsidRPr="003E6150" w:rsidRDefault="00DD2A3C" w:rsidP="00DF3C7F">
            <w:pPr>
              <w:rPr>
                <w:lang w:eastAsia="en-US"/>
              </w:rPr>
            </w:pPr>
            <w:r w:rsidRPr="00F67B9E">
              <w:rPr>
                <w:lang w:eastAsia="en-US"/>
              </w:rPr>
              <w:t>Dr. Puskásné Dr. Szeghy Petra jegyző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Melléklet: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1 db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A01695">
              <w:rPr>
                <w:u w:val="single"/>
                <w:lang w:eastAsia="en-US"/>
              </w:rPr>
              <w:t>egyszerű</w:t>
            </w:r>
            <w:r w:rsidRPr="003E6150">
              <w:rPr>
                <w:lang w:eastAsia="en-US"/>
              </w:rPr>
              <w:t>/minősített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rendelet/</w:t>
            </w:r>
            <w:r w:rsidRPr="00A01695">
              <w:rPr>
                <w:u w:val="single"/>
                <w:lang w:eastAsia="en-US"/>
              </w:rPr>
              <w:t>határozat</w:t>
            </w:r>
            <w:r w:rsidRPr="003E6150">
              <w:rPr>
                <w:lang w:eastAsia="en-US"/>
              </w:rPr>
              <w:t xml:space="preserve"> (normatív, hatósági, egyéb)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C6051E">
              <w:rPr>
                <w:u w:val="single"/>
                <w:lang w:eastAsia="en-US"/>
              </w:rPr>
              <w:t>nyílt ülésen kell</w:t>
            </w:r>
            <w:r w:rsidRPr="003E6150">
              <w:rPr>
                <w:lang w:eastAsia="en-US"/>
              </w:rPr>
              <w:t>/zárt ülésen kell/zárt ülésen lehet tárgyalni</w:t>
            </w:r>
          </w:p>
        </w:tc>
      </w:tr>
      <w:tr w:rsidR="001121B7" w:rsidRPr="003E6150" w:rsidTr="00F078CC"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1121B7" w:rsidRPr="003E6150" w:rsidRDefault="001121B7" w:rsidP="00DF3C7F">
            <w:pPr>
              <w:rPr>
                <w:lang w:eastAsia="en-US"/>
              </w:rPr>
            </w:pPr>
          </w:p>
          <w:p w:rsidR="001121B7" w:rsidRPr="003E6150" w:rsidRDefault="001121B7" w:rsidP="00DF3C7F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Filóné Ferencz Ibolya polgármester</w:t>
            </w:r>
          </w:p>
        </w:tc>
      </w:tr>
    </w:tbl>
    <w:p w:rsidR="001121B7" w:rsidRDefault="001121B7" w:rsidP="00C907E8"/>
    <w:p w:rsidR="001121B7" w:rsidRDefault="001121B7" w:rsidP="00C907E8"/>
    <w:p w:rsidR="001121B7" w:rsidRPr="00A01695" w:rsidRDefault="001121B7" w:rsidP="005276A6">
      <w:pPr>
        <w:jc w:val="both"/>
        <w:rPr>
          <w:b/>
        </w:rPr>
      </w:pPr>
      <w:r w:rsidRPr="00A01695">
        <w:rPr>
          <w:b/>
        </w:rPr>
        <w:t>Tisztelt Képviselő-testület!</w:t>
      </w:r>
    </w:p>
    <w:p w:rsidR="001121B7" w:rsidRPr="003E6150" w:rsidRDefault="001121B7" w:rsidP="00C907E8"/>
    <w:p w:rsidR="00070381" w:rsidRDefault="001121B7" w:rsidP="00070381">
      <w:pPr>
        <w:pStyle w:val="Default"/>
        <w:jc w:val="both"/>
      </w:pPr>
      <w:r w:rsidRPr="004F4B79">
        <w:t xml:space="preserve">A </w:t>
      </w:r>
      <w:r w:rsidR="00DD2A3C" w:rsidRPr="004F4B79">
        <w:t xml:space="preserve">közbeszerzésekről szóló </w:t>
      </w:r>
      <w:r w:rsidR="00D7362C" w:rsidRPr="004F4B79">
        <w:t xml:space="preserve">2015. évi CXLIII. törvény </w:t>
      </w:r>
      <w:r w:rsidR="00D7362C" w:rsidRPr="004F4B79">
        <w:rPr>
          <w:bCs/>
        </w:rPr>
        <w:t>(</w:t>
      </w:r>
      <w:r w:rsidR="00A63A55" w:rsidRPr="004F4B79">
        <w:rPr>
          <w:bCs/>
        </w:rPr>
        <w:t xml:space="preserve">a </w:t>
      </w:r>
      <w:r w:rsidR="00D7362C" w:rsidRPr="004F4B79">
        <w:rPr>
          <w:bCs/>
        </w:rPr>
        <w:t>továbbiakban</w:t>
      </w:r>
      <w:r w:rsidR="00DD2A3C" w:rsidRPr="004F4B79">
        <w:rPr>
          <w:bCs/>
        </w:rPr>
        <w:t>:</w:t>
      </w:r>
      <w:r w:rsidR="00D7362C" w:rsidRPr="004F4B79">
        <w:rPr>
          <w:bCs/>
        </w:rPr>
        <w:t xml:space="preserve"> Kbt.)</w:t>
      </w:r>
      <w:r w:rsidR="00A63A55" w:rsidRPr="004F4B79">
        <w:rPr>
          <w:bCs/>
        </w:rPr>
        <w:t xml:space="preserve"> </w:t>
      </w:r>
      <w:r w:rsidR="00D7362C" w:rsidRPr="004F4B79">
        <w:rPr>
          <w:bCs/>
        </w:rPr>
        <w:t>42</w:t>
      </w:r>
      <w:r w:rsidR="00A63A55" w:rsidRPr="004F4B79">
        <w:rPr>
          <w:bCs/>
        </w:rPr>
        <w:t xml:space="preserve">.§ (1) bekezdése alapján a </w:t>
      </w:r>
      <w:r w:rsidR="00A63A55" w:rsidRPr="004F4B79">
        <w:t>Kbt. 5. § (1) bekezdés</w:t>
      </w:r>
      <w:r w:rsidR="00E63C60" w:rsidRPr="004F4B79">
        <w:t>ében meghatározott</w:t>
      </w:r>
      <w:r w:rsidR="00A63A55" w:rsidRPr="004F4B79">
        <w:t xml:space="preserve"> ajánlatkérők, így – </w:t>
      </w:r>
      <w:r w:rsidR="00E63C60" w:rsidRPr="004F4B79">
        <w:t xml:space="preserve">Bonyhád Város Önkormányzata is </w:t>
      </w:r>
      <w:r w:rsidR="00A63A55" w:rsidRPr="004F4B79">
        <w:t>– évente kötelesek összesített közbeszerzési tervet készíteni az adott évre tervezett közbeszerzéseikről</w:t>
      </w:r>
      <w:r w:rsidR="004F4B79" w:rsidRPr="004F4B79">
        <w:t xml:space="preserve"> </w:t>
      </w:r>
      <w:r w:rsidRPr="004F4B79">
        <w:t xml:space="preserve">folyó év március 31-ig. </w:t>
      </w:r>
      <w:r w:rsidR="00070381">
        <w:t xml:space="preserve"> </w:t>
      </w:r>
    </w:p>
    <w:p w:rsidR="00070381" w:rsidRDefault="00070381" w:rsidP="00070381">
      <w:pPr>
        <w:pStyle w:val="Default"/>
        <w:jc w:val="both"/>
      </w:pPr>
    </w:p>
    <w:p w:rsidR="00C361A3" w:rsidRPr="00C361A3" w:rsidRDefault="00BC4160" w:rsidP="00070381">
      <w:pPr>
        <w:pStyle w:val="Default"/>
        <w:jc w:val="both"/>
      </w:pPr>
      <w:r>
        <w:t>A 2017</w:t>
      </w:r>
      <w:r w:rsidR="006030CD">
        <w:t xml:space="preserve">. évre irányadó közbeszerzési értékhatárokat </w:t>
      </w:r>
      <w:r>
        <w:t>Magyarország 2017. évi központi költségvetéséről szóló 2016. évi XC. törvény eltérő szöveggel való hatálybalépéséről szóló 2016. évi CLVII. törvény határozta meg az elmúlt évek</w:t>
      </w:r>
      <w:r w:rsidR="00070381">
        <w:t xml:space="preserve">hez képest magasabb összegben. Így 2017-ben </w:t>
      </w:r>
      <w:r w:rsidR="00C361A3" w:rsidRPr="00E35C11">
        <w:t xml:space="preserve">közbeszerzési eljárás lefolytatása kötelező, amennyiben </w:t>
      </w:r>
      <w:r w:rsidR="00E66AAF">
        <w:t xml:space="preserve">a közbeszerzés becsült értéke </w:t>
      </w:r>
      <w:r w:rsidR="00C361A3">
        <w:t>árube</w:t>
      </w:r>
      <w:r w:rsidR="00E66AAF">
        <w:t>szerzés</w:t>
      </w:r>
      <w:r w:rsidR="00C361A3">
        <w:t xml:space="preserve"> vagy </w:t>
      </w:r>
      <w:r w:rsidR="00C361A3" w:rsidRPr="00E35C11">
        <w:t>szolgáltatás</w:t>
      </w:r>
      <w:r w:rsidR="00C361A3">
        <w:t xml:space="preserve"> megrendelése esetén a nettó </w:t>
      </w:r>
      <w:r w:rsidR="00DD2042">
        <w:t>15</w:t>
      </w:r>
      <w:r w:rsidR="00C361A3" w:rsidRPr="00E35C11">
        <w:t xml:space="preserve"> millió</w:t>
      </w:r>
      <w:r w:rsidR="00C361A3">
        <w:t xml:space="preserve">, míg építési </w:t>
      </w:r>
      <w:r w:rsidR="00C361A3" w:rsidRPr="00E35C11">
        <w:t xml:space="preserve">beruházás </w:t>
      </w:r>
      <w:r w:rsidR="00C361A3">
        <w:t>esetén</w:t>
      </w:r>
      <w:r w:rsidR="00DD2042">
        <w:t xml:space="preserve"> a nettó 2</w:t>
      </w:r>
      <w:r w:rsidR="00C361A3" w:rsidRPr="00E35C11">
        <w:t xml:space="preserve">5 millió forintot </w:t>
      </w:r>
      <w:r w:rsidR="00C361A3">
        <w:t>meg</w:t>
      </w:r>
      <w:r w:rsidR="00A35CE1">
        <w:t>haladja</w:t>
      </w:r>
      <w:r w:rsidR="00C361A3" w:rsidRPr="00E35C11">
        <w:t xml:space="preserve">. </w:t>
      </w:r>
    </w:p>
    <w:p w:rsidR="006030CD" w:rsidRDefault="006030CD" w:rsidP="004F4B79">
      <w:pPr>
        <w:autoSpaceDE w:val="0"/>
        <w:autoSpaceDN w:val="0"/>
        <w:adjustRightInd w:val="0"/>
        <w:jc w:val="both"/>
      </w:pPr>
    </w:p>
    <w:p w:rsidR="00AB0AAB" w:rsidRDefault="00AB0AAB" w:rsidP="004F4B79">
      <w:pPr>
        <w:autoSpaceDE w:val="0"/>
        <w:autoSpaceDN w:val="0"/>
        <w:adjustRightInd w:val="0"/>
        <w:jc w:val="both"/>
      </w:pPr>
      <w:r>
        <w:t>Jelenleg önkormányzatunknál három közbeszerzési eljárás van folyamatban. Ebből az egy</w:t>
      </w:r>
      <w:r w:rsidR="00BE41A6">
        <w:t>ik (a</w:t>
      </w:r>
      <w:r>
        <w:t xml:space="preserve"> </w:t>
      </w:r>
      <w:r w:rsidR="00BE41A6" w:rsidRPr="00BE41A6">
        <w:t>TOP-2.1.2-15 Miénk itt a tér - rendezvénytér</w:t>
      </w:r>
      <w:r w:rsidR="00BE41A6">
        <w:t xml:space="preserve"> kialakítására meghirdetett) </w:t>
      </w:r>
      <w:r>
        <w:t xml:space="preserve">még 2016-ban elindult, tárgyévi közbeszerzési tervben szerepeltetni nem kell. </w:t>
      </w:r>
      <w:r w:rsidR="00CE7D11">
        <w:t>A Városi Sportcsarnok felújítására és bővítésre vonatkozó építési közbeszerzés megindításáról 2017. január 3-i rendkívüli</w:t>
      </w:r>
      <w:r w:rsidR="00593035">
        <w:t xml:space="preserve"> ülésén döntött a képviselő-testület. </w:t>
      </w:r>
      <w:r w:rsidR="00CE7D11">
        <w:t>Adminisztratív okból a közvilágítás üzemeltetésére kiírt közbeszerzés - még az ajánlatok benyúj</w:t>
      </w:r>
      <w:r w:rsidR="00BE41A6">
        <w:t>tása előtt - eredménytelen lett és</w:t>
      </w:r>
      <w:r w:rsidR="00CE7D11">
        <w:t xml:space="preserve"> </w:t>
      </w:r>
      <w:r w:rsidR="00CE7D11">
        <w:lastRenderedPageBreak/>
        <w:t>változatlan feltételekkel került újból kiírásra.</w:t>
      </w:r>
      <w:r w:rsidR="00593035">
        <w:t xml:space="preserve"> Utóbbi két eljárás része a tárgyévi közbeszerzési tervnek.</w:t>
      </w:r>
    </w:p>
    <w:p w:rsidR="00593035" w:rsidRDefault="00593035" w:rsidP="004F4B79">
      <w:pPr>
        <w:autoSpaceDE w:val="0"/>
        <w:autoSpaceDN w:val="0"/>
        <w:adjustRightInd w:val="0"/>
        <w:jc w:val="both"/>
      </w:pPr>
    </w:p>
    <w:p w:rsidR="00593035" w:rsidRDefault="00593035" w:rsidP="004F4B79">
      <w:pPr>
        <w:autoSpaceDE w:val="0"/>
        <w:autoSpaceDN w:val="0"/>
        <w:adjustRightInd w:val="0"/>
        <w:jc w:val="both"/>
      </w:pPr>
      <w:r>
        <w:t>Szintén része a tervnek a hamarosam megindítandó</w:t>
      </w:r>
      <w:r w:rsidR="00BE41A6">
        <w:t xml:space="preserve">, a hulladékgazdálkodási közszolgáltatás megrendelésére vonatkozó közbeszerzési eljárás. </w:t>
      </w:r>
    </w:p>
    <w:p w:rsidR="00534930" w:rsidRDefault="00534930" w:rsidP="00A01695">
      <w:pPr>
        <w:pStyle w:val="Default"/>
        <w:jc w:val="both"/>
        <w:rPr>
          <w:color w:val="auto"/>
          <w:kern w:val="0"/>
          <w:lang w:eastAsia="hu-HU"/>
        </w:rPr>
      </w:pPr>
    </w:p>
    <w:p w:rsidR="00EB45C9" w:rsidRDefault="00593035" w:rsidP="00A01695">
      <w:pPr>
        <w:pStyle w:val="Default"/>
        <w:jc w:val="both"/>
        <w:rPr>
          <w:color w:val="auto"/>
          <w:kern w:val="0"/>
          <w:lang w:eastAsia="hu-HU"/>
        </w:rPr>
      </w:pPr>
      <w:r>
        <w:rPr>
          <w:color w:val="auto"/>
          <w:kern w:val="0"/>
          <w:lang w:eastAsia="hu-HU"/>
        </w:rPr>
        <w:t>Ezeken az eljárásokon túl még a</w:t>
      </w:r>
      <w:r w:rsidR="0038632A">
        <w:rPr>
          <w:color w:val="auto"/>
          <w:kern w:val="0"/>
          <w:lang w:eastAsia="hu-HU"/>
        </w:rPr>
        <w:t xml:space="preserve"> Terület- és Településfejlesztési Operat</w:t>
      </w:r>
      <w:r w:rsidR="00BE41A6">
        <w:rPr>
          <w:color w:val="auto"/>
          <w:kern w:val="0"/>
          <w:lang w:eastAsia="hu-HU"/>
        </w:rPr>
        <w:t>ív Program keretében benyújtott</w:t>
      </w:r>
      <w:r w:rsidR="0038632A">
        <w:rPr>
          <w:color w:val="auto"/>
          <w:kern w:val="0"/>
          <w:lang w:eastAsia="hu-HU"/>
        </w:rPr>
        <w:t xml:space="preserve"> projektjeink</w:t>
      </w:r>
      <w:r w:rsidR="007770F4">
        <w:rPr>
          <w:color w:val="auto"/>
          <w:kern w:val="0"/>
          <w:lang w:eastAsia="hu-HU"/>
        </w:rPr>
        <w:t>hez kapcsolódó</w:t>
      </w:r>
      <w:r w:rsidR="00BE41A6">
        <w:rPr>
          <w:color w:val="auto"/>
          <w:kern w:val="0"/>
          <w:lang w:eastAsia="hu-HU"/>
        </w:rPr>
        <w:t xml:space="preserve"> és - a pályázatok pozi</w:t>
      </w:r>
      <w:r w:rsidR="007770F4">
        <w:rPr>
          <w:color w:val="auto"/>
          <w:kern w:val="0"/>
          <w:lang w:eastAsia="hu-HU"/>
        </w:rPr>
        <w:t xml:space="preserve">tív </w:t>
      </w:r>
      <w:r w:rsidR="00BE41A6">
        <w:rPr>
          <w:color w:val="auto"/>
          <w:kern w:val="0"/>
          <w:lang w:eastAsia="hu-HU"/>
        </w:rPr>
        <w:t>elbírálásának függvényében -</w:t>
      </w:r>
      <w:r>
        <w:rPr>
          <w:color w:val="auto"/>
          <w:kern w:val="0"/>
          <w:lang w:eastAsia="hu-HU"/>
        </w:rPr>
        <w:t xml:space="preserve"> 2017-ben lefolytatandó</w:t>
      </w:r>
      <w:r w:rsidR="00BE41A6">
        <w:rPr>
          <w:color w:val="auto"/>
          <w:kern w:val="0"/>
          <w:lang w:eastAsia="hu-HU"/>
        </w:rPr>
        <w:t xml:space="preserve"> közbeszerzések képezik a terv részét.</w:t>
      </w:r>
      <w:r w:rsidR="0038632A">
        <w:rPr>
          <w:color w:val="auto"/>
          <w:kern w:val="0"/>
          <w:lang w:eastAsia="hu-HU"/>
        </w:rPr>
        <w:t xml:space="preserve"> </w:t>
      </w:r>
    </w:p>
    <w:p w:rsidR="00593035" w:rsidRDefault="00593035" w:rsidP="00A01695">
      <w:pPr>
        <w:pStyle w:val="Default"/>
        <w:jc w:val="both"/>
        <w:rPr>
          <w:color w:val="auto"/>
          <w:kern w:val="0"/>
          <w:lang w:eastAsia="hu-HU"/>
        </w:rPr>
      </w:pPr>
    </w:p>
    <w:p w:rsidR="00BE41A6" w:rsidRDefault="00BE41A6" w:rsidP="00BE41A6">
      <w:pPr>
        <w:pStyle w:val="Default"/>
        <w:jc w:val="both"/>
        <w:rPr>
          <w:bCs/>
          <w:color w:val="auto"/>
          <w:lang w:eastAsia="hu-HU"/>
        </w:rPr>
      </w:pPr>
      <w:r>
        <w:rPr>
          <w:color w:val="auto"/>
          <w:kern w:val="0"/>
          <w:lang w:eastAsia="hu-HU"/>
        </w:rPr>
        <w:t xml:space="preserve">Az előterjesztéshez csatolt melléklet nem tartalmazza </w:t>
      </w:r>
      <w:r w:rsidRPr="00E66AAF">
        <w:rPr>
          <w:iCs/>
        </w:rPr>
        <w:t>Bonyhád és agglomerációs térségének szennyvíztisztítása, új szennyvíztelep megvalósítása című projekthez tartozó várható közbeszerzési eljárásokat, mert a projekthez mint</w:t>
      </w:r>
      <w:r>
        <w:rPr>
          <w:i/>
          <w:iCs/>
        </w:rPr>
        <w:t xml:space="preserve"> </w:t>
      </w:r>
      <w:r>
        <w:t xml:space="preserve">nemzetgazdasági szempontból kiemelt jelentőségű beruházáshoz kapcsolódó közbeszerzések lefolytatása </w:t>
      </w:r>
      <w:r w:rsidRPr="00534930">
        <w:rPr>
          <w:color w:val="auto"/>
        </w:rPr>
        <w:t xml:space="preserve">a </w:t>
      </w:r>
      <w:r w:rsidRPr="00534930">
        <w:rPr>
          <w:bCs/>
          <w:color w:val="auto"/>
          <w:lang w:eastAsia="hu-HU"/>
        </w:rPr>
        <w:t>Nemzeti Fejlesztési Programiroda Nonprofit Kft.</w:t>
      </w:r>
      <w:r>
        <w:rPr>
          <w:bCs/>
          <w:color w:val="auto"/>
          <w:lang w:eastAsia="hu-HU"/>
        </w:rPr>
        <w:t xml:space="preserve"> feladata.</w:t>
      </w:r>
    </w:p>
    <w:p w:rsidR="00BE41A6" w:rsidRPr="00534930" w:rsidRDefault="00BE41A6" w:rsidP="00A01695">
      <w:pPr>
        <w:pStyle w:val="Default"/>
        <w:jc w:val="both"/>
        <w:rPr>
          <w:color w:val="auto"/>
          <w:kern w:val="0"/>
          <w:lang w:eastAsia="hu-HU"/>
        </w:rPr>
      </w:pPr>
    </w:p>
    <w:p w:rsidR="00A01695" w:rsidRPr="009061EA" w:rsidRDefault="00A01695" w:rsidP="00A01695">
      <w:pPr>
        <w:pStyle w:val="Default"/>
        <w:jc w:val="both"/>
      </w:pPr>
      <w:r w:rsidRPr="009061EA">
        <w:t xml:space="preserve">A Kbt. </w:t>
      </w:r>
      <w:r w:rsidR="00D7362C" w:rsidRPr="009061EA">
        <w:t>42</w:t>
      </w:r>
      <w:r w:rsidR="009061EA" w:rsidRPr="009061EA">
        <w:t>. § (3) bekezdése értelmében a</w:t>
      </w:r>
      <w:r w:rsidR="00D7362C" w:rsidRPr="009061EA">
        <w:t xml:space="preserve"> közbeszerzési terv nem vonja maga után az abban megadott közbeszerzésre vonatkozó eljárás lefolytatásának kötelezettségét. Az ajánlatkérő a közbeszerzési tervben nem szereplő közbeszerzésre vagy a tervben foglaltakhoz képest módosított közbeszerzésre vonatkozó eljárást is lefolytathat. Ezekben az esetekben a közbeszerzési tervet módosítani kell az ilyen igény vagy egyéb változás felmerülésekor, megadva a módosítás indokát is.</w:t>
      </w:r>
    </w:p>
    <w:p w:rsidR="001121B7" w:rsidRDefault="001121B7" w:rsidP="005276A6">
      <w:pPr>
        <w:jc w:val="both"/>
        <w:rPr>
          <w:color w:val="000000"/>
        </w:rPr>
      </w:pPr>
    </w:p>
    <w:p w:rsidR="001121B7" w:rsidRPr="00E35C11" w:rsidRDefault="009061EA" w:rsidP="005276A6">
      <w:pPr>
        <w:jc w:val="both"/>
        <w:rPr>
          <w:color w:val="000000"/>
        </w:rPr>
      </w:pPr>
      <w:r>
        <w:rPr>
          <w:color w:val="000000"/>
        </w:rPr>
        <w:t>M</w:t>
      </w:r>
      <w:r w:rsidR="001121B7" w:rsidRPr="00E35C11">
        <w:rPr>
          <w:color w:val="000000"/>
        </w:rPr>
        <w:t>indezekre tekintettel kérem az alábbi határozati javaslat elfogadását:</w:t>
      </w:r>
    </w:p>
    <w:p w:rsidR="001121B7" w:rsidRDefault="001121B7" w:rsidP="005276A6">
      <w:pPr>
        <w:jc w:val="both"/>
        <w:rPr>
          <w:color w:val="000000"/>
        </w:rPr>
      </w:pPr>
    </w:p>
    <w:p w:rsidR="001121B7" w:rsidRPr="00E35C11" w:rsidRDefault="001121B7" w:rsidP="005276A6">
      <w:pPr>
        <w:jc w:val="both"/>
        <w:rPr>
          <w:color w:val="000000"/>
        </w:rPr>
      </w:pPr>
    </w:p>
    <w:p w:rsidR="001121B7" w:rsidRPr="00E35C11" w:rsidRDefault="001121B7" w:rsidP="005276A6">
      <w:pPr>
        <w:jc w:val="both"/>
        <w:rPr>
          <w:b/>
          <w:color w:val="000000"/>
          <w:u w:val="single"/>
        </w:rPr>
      </w:pPr>
      <w:r w:rsidRPr="00E35C11">
        <w:rPr>
          <w:b/>
          <w:color w:val="000000"/>
          <w:u w:val="single"/>
        </w:rPr>
        <w:t>Határozati javaslat:</w:t>
      </w:r>
    </w:p>
    <w:p w:rsidR="001121B7" w:rsidRPr="00E35C11" w:rsidRDefault="001121B7" w:rsidP="005276A6">
      <w:pPr>
        <w:jc w:val="both"/>
        <w:rPr>
          <w:color w:val="000000"/>
        </w:rPr>
      </w:pPr>
    </w:p>
    <w:p w:rsidR="00A35CE1" w:rsidRPr="00A35CE1" w:rsidRDefault="001121B7" w:rsidP="00A35CE1">
      <w:pPr>
        <w:jc w:val="both"/>
        <w:rPr>
          <w:color w:val="000000"/>
        </w:rPr>
      </w:pPr>
      <w:r w:rsidRPr="00A35CE1">
        <w:rPr>
          <w:color w:val="000000"/>
        </w:rPr>
        <w:t xml:space="preserve">Bonyhád Város Önkormányzatának Képviselő-testülete </w:t>
      </w:r>
      <w:r w:rsidR="00A35CE1" w:rsidRPr="00A35CE1">
        <w:t>a közbeszerzésekről szóló 2015. évi CXLIII. törvény 42. § (1) bekezdése értelmében Bon</w:t>
      </w:r>
      <w:r w:rsidR="005710D3">
        <w:t>yhád Város Önkormányzatának 2017</w:t>
      </w:r>
      <w:r w:rsidR="00A35CE1" w:rsidRPr="00A35CE1">
        <w:t>. évi összesített közbeszerzési tervét a határozat melléklete szerinti tartalommal fogadja el.</w:t>
      </w:r>
    </w:p>
    <w:p w:rsidR="00A35CE1" w:rsidRPr="00A35CE1" w:rsidRDefault="00A35CE1" w:rsidP="00A35CE1">
      <w:pPr>
        <w:jc w:val="both"/>
        <w:rPr>
          <w:color w:val="000000"/>
        </w:rPr>
      </w:pPr>
      <w:r w:rsidRPr="00A35CE1">
        <w:t xml:space="preserve">A Képviselő-testület felkéri a jegyzőt, hogy gondoskodjon az éves összesített közbeszerzési tervnek </w:t>
      </w:r>
      <w:r w:rsidR="00726766">
        <w:t xml:space="preserve">a Közbeszerzési Adatbázisban, valamint </w:t>
      </w:r>
      <w:r w:rsidRPr="00A35CE1">
        <w:t>Bonyhád Város Önkormányzatának honlapján történő közzétételéről.</w:t>
      </w:r>
    </w:p>
    <w:p w:rsidR="001121B7" w:rsidRPr="00A35CE1" w:rsidRDefault="001121B7" w:rsidP="00A35CE1">
      <w:pPr>
        <w:jc w:val="both"/>
        <w:rPr>
          <w:sz w:val="26"/>
          <w:szCs w:val="26"/>
        </w:rPr>
      </w:pPr>
    </w:p>
    <w:p w:rsidR="001121B7" w:rsidRPr="00A35CE1" w:rsidRDefault="006E4989" w:rsidP="00A35CE1">
      <w:pPr>
        <w:jc w:val="both"/>
      </w:pPr>
      <w:r w:rsidRPr="00A35CE1">
        <w:t>Határidő: azonnal</w:t>
      </w:r>
    </w:p>
    <w:p w:rsidR="001121B7" w:rsidRPr="00A35CE1" w:rsidRDefault="001121B7" w:rsidP="00A35CE1">
      <w:pPr>
        <w:jc w:val="both"/>
      </w:pPr>
      <w:r w:rsidRPr="00A35CE1">
        <w:t>Felelős: dr. Puskásné dr. Szeghy Petra - jegyző</w:t>
      </w:r>
    </w:p>
    <w:p w:rsidR="001121B7" w:rsidRPr="00A35CE1" w:rsidRDefault="001121B7" w:rsidP="00A35CE1">
      <w:pPr>
        <w:jc w:val="both"/>
      </w:pPr>
      <w:r w:rsidRPr="00A35CE1">
        <w:t>Végrehajtásért felelős:</w:t>
      </w:r>
      <w:r w:rsidR="00A35CE1">
        <w:t xml:space="preserve"> dr. Erményi Gyula</w:t>
      </w:r>
      <w:r w:rsidRPr="00A35CE1">
        <w:t xml:space="preserve"> </w:t>
      </w:r>
      <w:r w:rsidR="00A35CE1">
        <w:t>al</w:t>
      </w:r>
      <w:r w:rsidRPr="00A35CE1">
        <w:t>jegyző</w:t>
      </w:r>
    </w:p>
    <w:p w:rsidR="001121B7" w:rsidRPr="00A35CE1" w:rsidRDefault="001121B7" w:rsidP="00B43008">
      <w:pPr>
        <w:jc w:val="both"/>
        <w:rPr>
          <w:rFonts w:ascii="Arial" w:hAnsi="Arial" w:cs="Arial"/>
        </w:rPr>
      </w:pPr>
    </w:p>
    <w:p w:rsidR="001121B7" w:rsidRDefault="001121B7" w:rsidP="00B43008">
      <w:pPr>
        <w:jc w:val="both"/>
        <w:rPr>
          <w:rFonts w:ascii="Arial" w:hAnsi="Arial" w:cs="Arial"/>
          <w:sz w:val="26"/>
          <w:szCs w:val="26"/>
        </w:rPr>
      </w:pPr>
    </w:p>
    <w:p w:rsidR="001121B7" w:rsidRDefault="00D57846" w:rsidP="00B43008">
      <w:pPr>
        <w:jc w:val="both"/>
      </w:pPr>
      <w:r>
        <w:t>Bonyhád, 2017</w:t>
      </w:r>
      <w:r w:rsidR="001121B7" w:rsidRPr="00C30D72">
        <w:t xml:space="preserve">. </w:t>
      </w:r>
      <w:r w:rsidR="00C218BA">
        <w:t>január 16</w:t>
      </w:r>
      <w:r w:rsidR="009061EA">
        <w:t>.</w:t>
      </w:r>
    </w:p>
    <w:p w:rsidR="001121B7" w:rsidRDefault="001121B7" w:rsidP="00B43008">
      <w:pPr>
        <w:jc w:val="both"/>
      </w:pPr>
    </w:p>
    <w:p w:rsidR="001121B7" w:rsidRDefault="001121B7" w:rsidP="00B43008">
      <w:pPr>
        <w:jc w:val="both"/>
      </w:pPr>
    </w:p>
    <w:p w:rsidR="001121B7" w:rsidRDefault="001121B7" w:rsidP="00B4300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Puskásné dr. Szeghy Petra</w:t>
      </w:r>
    </w:p>
    <w:p w:rsidR="001121B7" w:rsidRPr="00C30D72" w:rsidRDefault="001121B7" w:rsidP="00B4300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C76B16">
        <w:t xml:space="preserve">   </w:t>
      </w:r>
      <w:proofErr w:type="gramStart"/>
      <w:r>
        <w:t>jegyző</w:t>
      </w:r>
      <w:proofErr w:type="gramEnd"/>
    </w:p>
    <w:sectPr w:rsidR="001121B7" w:rsidRPr="00C30D72" w:rsidSect="00037B48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708" w:rsidRDefault="00746708">
      <w:r>
        <w:separator/>
      </w:r>
    </w:p>
  </w:endnote>
  <w:endnote w:type="continuationSeparator" w:id="0">
    <w:p w:rsidR="00746708" w:rsidRDefault="007467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807" w:rsidRDefault="00797461" w:rsidP="00F6012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741807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B605D">
      <w:rPr>
        <w:rStyle w:val="Oldalszm"/>
        <w:noProof/>
      </w:rPr>
      <w:t>2</w:t>
    </w:r>
    <w:r>
      <w:rPr>
        <w:rStyle w:val="Oldalszm"/>
      </w:rPr>
      <w:fldChar w:fldCharType="end"/>
    </w:r>
  </w:p>
  <w:p w:rsidR="00741807" w:rsidRDefault="00741807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807" w:rsidRDefault="00797461" w:rsidP="00F60123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741807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B605D">
      <w:rPr>
        <w:rStyle w:val="Oldalszm"/>
        <w:noProof/>
      </w:rPr>
      <w:t>1</w:t>
    </w:r>
    <w:r>
      <w:rPr>
        <w:rStyle w:val="Oldalszm"/>
      </w:rPr>
      <w:fldChar w:fldCharType="end"/>
    </w:r>
  </w:p>
  <w:p w:rsidR="00741807" w:rsidRDefault="00741807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708" w:rsidRDefault="00746708">
      <w:r>
        <w:separator/>
      </w:r>
    </w:p>
  </w:footnote>
  <w:footnote w:type="continuationSeparator" w:id="0">
    <w:p w:rsidR="00746708" w:rsidRDefault="007467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807" w:rsidRDefault="00741807" w:rsidP="00C907E8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19050" t="0" r="9525" b="0"/>
          <wp:wrapNone/>
          <wp:docPr id="1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36"/>
        <w:szCs w:val="36"/>
      </w:rPr>
      <w:t>Bonyhád Város Önkormányzata</w:t>
    </w:r>
  </w:p>
  <w:p w:rsidR="00741807" w:rsidRDefault="00741807" w:rsidP="00C907E8">
    <w:pPr>
      <w:pStyle w:val="lfej"/>
      <w:jc w:val="right"/>
      <w:rPr>
        <w:b/>
        <w:sz w:val="36"/>
        <w:szCs w:val="36"/>
      </w:rPr>
    </w:pPr>
  </w:p>
  <w:p w:rsidR="00741807" w:rsidRPr="00C77A41" w:rsidRDefault="00797461" w:rsidP="00C77A41">
    <w:pPr>
      <w:pStyle w:val="lfej"/>
      <w:jc w:val="center"/>
      <w:rPr>
        <w:b/>
        <w:sz w:val="36"/>
        <w:szCs w:val="36"/>
      </w:rPr>
    </w:pPr>
    <w:r w:rsidRPr="00797461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40.85pt;margin-top:22.6pt;width:524.25pt;height:0;z-index:251657216" o:connectortype="straight" strokeweight="1pt"/>
      </w:pict>
    </w:r>
    <w:r w:rsidR="00741807">
      <w:br/>
    </w:r>
  </w:p>
  <w:p w:rsidR="00741807" w:rsidRPr="00AE7134" w:rsidRDefault="00797461" w:rsidP="00AE7134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-36pt;margin-top:-9.55pt;width:99pt;height:90pt;z-index:251656192" filled="f" stroked="f">
          <v:textbox style="mso-next-textbox:#_x0000_s2051">
            <w:txbxContent>
              <w:p w:rsidR="00741807" w:rsidRDefault="00741807" w:rsidP="00DA1372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741807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19050" t="0" r="0" b="0"/>
          <wp:wrapNone/>
          <wp:docPr id="4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E5753"/>
    <w:multiLevelType w:val="hybridMultilevel"/>
    <w:tmpl w:val="AEAA44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061635F"/>
    <w:multiLevelType w:val="hybridMultilevel"/>
    <w:tmpl w:val="F24A89A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E748E3"/>
    <w:multiLevelType w:val="hybridMultilevel"/>
    <w:tmpl w:val="FAD2D2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61382D"/>
    <w:multiLevelType w:val="hybridMultilevel"/>
    <w:tmpl w:val="ED04326E"/>
    <w:lvl w:ilvl="0" w:tplc="B40CB9A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4A585808"/>
    <w:multiLevelType w:val="hybridMultilevel"/>
    <w:tmpl w:val="EA3A609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2E12BF8"/>
    <w:multiLevelType w:val="multilevel"/>
    <w:tmpl w:val="8DD8FCAC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51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0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6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6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26" w:hanging="1440"/>
      </w:pPr>
      <w:rPr>
        <w:rFonts w:hint="default"/>
      </w:rPr>
    </w:lvl>
  </w:abstractNum>
  <w:abstractNum w:abstractNumId="6">
    <w:nsid w:val="7BD61BEC"/>
    <w:multiLevelType w:val="hybridMultilevel"/>
    <w:tmpl w:val="A15E067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6146"/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25B0E"/>
    <w:rsid w:val="000108FC"/>
    <w:rsid w:val="0001236A"/>
    <w:rsid w:val="0002768F"/>
    <w:rsid w:val="00031E24"/>
    <w:rsid w:val="00034118"/>
    <w:rsid w:val="000345A4"/>
    <w:rsid w:val="00037B48"/>
    <w:rsid w:val="000468BD"/>
    <w:rsid w:val="00054461"/>
    <w:rsid w:val="00056346"/>
    <w:rsid w:val="00056AE0"/>
    <w:rsid w:val="00060B61"/>
    <w:rsid w:val="00065EF8"/>
    <w:rsid w:val="00070381"/>
    <w:rsid w:val="000734BC"/>
    <w:rsid w:val="00074996"/>
    <w:rsid w:val="00076BE8"/>
    <w:rsid w:val="00080389"/>
    <w:rsid w:val="0008365B"/>
    <w:rsid w:val="000947A5"/>
    <w:rsid w:val="000A1AB8"/>
    <w:rsid w:val="000B1D1B"/>
    <w:rsid w:val="000B63C6"/>
    <w:rsid w:val="000C07DD"/>
    <w:rsid w:val="000D7BD7"/>
    <w:rsid w:val="000F1A10"/>
    <w:rsid w:val="00100480"/>
    <w:rsid w:val="0010081B"/>
    <w:rsid w:val="00106667"/>
    <w:rsid w:val="00110D77"/>
    <w:rsid w:val="001121B7"/>
    <w:rsid w:val="00116E0E"/>
    <w:rsid w:val="00131949"/>
    <w:rsid w:val="00134BF1"/>
    <w:rsid w:val="00144B1B"/>
    <w:rsid w:val="00147266"/>
    <w:rsid w:val="00157002"/>
    <w:rsid w:val="001600AB"/>
    <w:rsid w:val="0016555B"/>
    <w:rsid w:val="001719DF"/>
    <w:rsid w:val="0017240B"/>
    <w:rsid w:val="0017337A"/>
    <w:rsid w:val="00182018"/>
    <w:rsid w:val="001839AB"/>
    <w:rsid w:val="00197076"/>
    <w:rsid w:val="001A0780"/>
    <w:rsid w:val="001A09A9"/>
    <w:rsid w:val="001A5606"/>
    <w:rsid w:val="001B2F7D"/>
    <w:rsid w:val="001B54F9"/>
    <w:rsid w:val="001B6D24"/>
    <w:rsid w:val="001C1289"/>
    <w:rsid w:val="001C2071"/>
    <w:rsid w:val="001C3455"/>
    <w:rsid w:val="001D75BE"/>
    <w:rsid w:val="001E00E3"/>
    <w:rsid w:val="0020159A"/>
    <w:rsid w:val="00205F65"/>
    <w:rsid w:val="00230B30"/>
    <w:rsid w:val="00237026"/>
    <w:rsid w:val="002402FA"/>
    <w:rsid w:val="002624FF"/>
    <w:rsid w:val="00266219"/>
    <w:rsid w:val="00271AAD"/>
    <w:rsid w:val="00272D21"/>
    <w:rsid w:val="002779E3"/>
    <w:rsid w:val="002937CC"/>
    <w:rsid w:val="002A3A63"/>
    <w:rsid w:val="002A5964"/>
    <w:rsid w:val="002A7A14"/>
    <w:rsid w:val="002B605D"/>
    <w:rsid w:val="002D0510"/>
    <w:rsid w:val="002D60A3"/>
    <w:rsid w:val="002E26A6"/>
    <w:rsid w:val="002F1E6F"/>
    <w:rsid w:val="00301A48"/>
    <w:rsid w:val="00310F11"/>
    <w:rsid w:val="0031279A"/>
    <w:rsid w:val="003174A6"/>
    <w:rsid w:val="00323BA5"/>
    <w:rsid w:val="003259F9"/>
    <w:rsid w:val="00330297"/>
    <w:rsid w:val="00334620"/>
    <w:rsid w:val="003356C4"/>
    <w:rsid w:val="00342DD7"/>
    <w:rsid w:val="0036088C"/>
    <w:rsid w:val="003612AE"/>
    <w:rsid w:val="003657F4"/>
    <w:rsid w:val="00366DF8"/>
    <w:rsid w:val="003701A1"/>
    <w:rsid w:val="00376437"/>
    <w:rsid w:val="003775DB"/>
    <w:rsid w:val="00382822"/>
    <w:rsid w:val="0038585B"/>
    <w:rsid w:val="0038618F"/>
    <w:rsid w:val="0038632A"/>
    <w:rsid w:val="00393233"/>
    <w:rsid w:val="003942AA"/>
    <w:rsid w:val="003A42CB"/>
    <w:rsid w:val="003B1765"/>
    <w:rsid w:val="003B3485"/>
    <w:rsid w:val="003B5272"/>
    <w:rsid w:val="003D75E8"/>
    <w:rsid w:val="003E1509"/>
    <w:rsid w:val="003E6150"/>
    <w:rsid w:val="003E738D"/>
    <w:rsid w:val="003F030D"/>
    <w:rsid w:val="003F6045"/>
    <w:rsid w:val="00402C80"/>
    <w:rsid w:val="0040501A"/>
    <w:rsid w:val="004078FA"/>
    <w:rsid w:val="00411AAF"/>
    <w:rsid w:val="00420D01"/>
    <w:rsid w:val="00422C62"/>
    <w:rsid w:val="00437753"/>
    <w:rsid w:val="004423F3"/>
    <w:rsid w:val="004443EF"/>
    <w:rsid w:val="004446D9"/>
    <w:rsid w:val="004456E8"/>
    <w:rsid w:val="0045701B"/>
    <w:rsid w:val="00461451"/>
    <w:rsid w:val="00467C7F"/>
    <w:rsid w:val="004727C3"/>
    <w:rsid w:val="004742B9"/>
    <w:rsid w:val="004745DC"/>
    <w:rsid w:val="00491E81"/>
    <w:rsid w:val="00492F27"/>
    <w:rsid w:val="004A77C3"/>
    <w:rsid w:val="004B2EB6"/>
    <w:rsid w:val="004B392A"/>
    <w:rsid w:val="004B4268"/>
    <w:rsid w:val="004B57E9"/>
    <w:rsid w:val="004C4144"/>
    <w:rsid w:val="004D0D2A"/>
    <w:rsid w:val="004E217A"/>
    <w:rsid w:val="004E71B9"/>
    <w:rsid w:val="004F3B27"/>
    <w:rsid w:val="004F4B79"/>
    <w:rsid w:val="004F54DD"/>
    <w:rsid w:val="005003F4"/>
    <w:rsid w:val="00500E44"/>
    <w:rsid w:val="00502A74"/>
    <w:rsid w:val="00512DA4"/>
    <w:rsid w:val="005136BB"/>
    <w:rsid w:val="00514B0D"/>
    <w:rsid w:val="00515A55"/>
    <w:rsid w:val="005276A6"/>
    <w:rsid w:val="00527C94"/>
    <w:rsid w:val="00530548"/>
    <w:rsid w:val="00534930"/>
    <w:rsid w:val="00542C20"/>
    <w:rsid w:val="005518A9"/>
    <w:rsid w:val="005541A4"/>
    <w:rsid w:val="00561724"/>
    <w:rsid w:val="00561A5B"/>
    <w:rsid w:val="005710D3"/>
    <w:rsid w:val="00576442"/>
    <w:rsid w:val="00585AC6"/>
    <w:rsid w:val="00593035"/>
    <w:rsid w:val="005965A2"/>
    <w:rsid w:val="005967A0"/>
    <w:rsid w:val="005B55D3"/>
    <w:rsid w:val="005C44E1"/>
    <w:rsid w:val="005C4A8E"/>
    <w:rsid w:val="005C6BD1"/>
    <w:rsid w:val="005E26EE"/>
    <w:rsid w:val="005E276A"/>
    <w:rsid w:val="005E6A49"/>
    <w:rsid w:val="005E7E70"/>
    <w:rsid w:val="005F1EA1"/>
    <w:rsid w:val="005F5167"/>
    <w:rsid w:val="00601902"/>
    <w:rsid w:val="006030CD"/>
    <w:rsid w:val="006120D6"/>
    <w:rsid w:val="006121DA"/>
    <w:rsid w:val="00616E01"/>
    <w:rsid w:val="006178E8"/>
    <w:rsid w:val="006223B5"/>
    <w:rsid w:val="0062417F"/>
    <w:rsid w:val="00630F8F"/>
    <w:rsid w:val="00643F85"/>
    <w:rsid w:val="00650BD8"/>
    <w:rsid w:val="00670D80"/>
    <w:rsid w:val="006754CB"/>
    <w:rsid w:val="00677D20"/>
    <w:rsid w:val="00687631"/>
    <w:rsid w:val="00697E74"/>
    <w:rsid w:val="006A26C1"/>
    <w:rsid w:val="006C31AB"/>
    <w:rsid w:val="006C55B6"/>
    <w:rsid w:val="006D718C"/>
    <w:rsid w:val="006E0747"/>
    <w:rsid w:val="006E3EF2"/>
    <w:rsid w:val="006E4989"/>
    <w:rsid w:val="006F5B16"/>
    <w:rsid w:val="00720FED"/>
    <w:rsid w:val="00726766"/>
    <w:rsid w:val="00727877"/>
    <w:rsid w:val="00737E48"/>
    <w:rsid w:val="007401E3"/>
    <w:rsid w:val="00740CA7"/>
    <w:rsid w:val="00741807"/>
    <w:rsid w:val="0074186D"/>
    <w:rsid w:val="00743627"/>
    <w:rsid w:val="00745F5F"/>
    <w:rsid w:val="00746708"/>
    <w:rsid w:val="0074764F"/>
    <w:rsid w:val="0076163A"/>
    <w:rsid w:val="007666A5"/>
    <w:rsid w:val="00770DA6"/>
    <w:rsid w:val="007770F4"/>
    <w:rsid w:val="0079068E"/>
    <w:rsid w:val="007936A9"/>
    <w:rsid w:val="00797461"/>
    <w:rsid w:val="007B0631"/>
    <w:rsid w:val="007B498A"/>
    <w:rsid w:val="007B77C0"/>
    <w:rsid w:val="007C2A4C"/>
    <w:rsid w:val="007C3BC3"/>
    <w:rsid w:val="007C582A"/>
    <w:rsid w:val="007E01C6"/>
    <w:rsid w:val="007F34DA"/>
    <w:rsid w:val="007F46D5"/>
    <w:rsid w:val="007F74D4"/>
    <w:rsid w:val="00802469"/>
    <w:rsid w:val="00815555"/>
    <w:rsid w:val="00826B3D"/>
    <w:rsid w:val="0083274B"/>
    <w:rsid w:val="00832A6C"/>
    <w:rsid w:val="0083328B"/>
    <w:rsid w:val="0084000B"/>
    <w:rsid w:val="00840C01"/>
    <w:rsid w:val="008432E6"/>
    <w:rsid w:val="008504DF"/>
    <w:rsid w:val="00851BA6"/>
    <w:rsid w:val="008543F5"/>
    <w:rsid w:val="00862D78"/>
    <w:rsid w:val="00863F84"/>
    <w:rsid w:val="00864BFB"/>
    <w:rsid w:val="00865A90"/>
    <w:rsid w:val="0086683D"/>
    <w:rsid w:val="0087435B"/>
    <w:rsid w:val="0088067A"/>
    <w:rsid w:val="008835A5"/>
    <w:rsid w:val="0088655C"/>
    <w:rsid w:val="00887EFC"/>
    <w:rsid w:val="008907BD"/>
    <w:rsid w:val="00891BE3"/>
    <w:rsid w:val="00897B02"/>
    <w:rsid w:val="008A389D"/>
    <w:rsid w:val="008A5CD0"/>
    <w:rsid w:val="008B091F"/>
    <w:rsid w:val="008C4306"/>
    <w:rsid w:val="008C7BF3"/>
    <w:rsid w:val="008D1277"/>
    <w:rsid w:val="008D218E"/>
    <w:rsid w:val="008D27F8"/>
    <w:rsid w:val="009061EA"/>
    <w:rsid w:val="00913217"/>
    <w:rsid w:val="0093033F"/>
    <w:rsid w:val="0094071A"/>
    <w:rsid w:val="00940DCE"/>
    <w:rsid w:val="009421D5"/>
    <w:rsid w:val="00942B7C"/>
    <w:rsid w:val="009468F7"/>
    <w:rsid w:val="00950FCB"/>
    <w:rsid w:val="009543EC"/>
    <w:rsid w:val="00954BC9"/>
    <w:rsid w:val="00956FEA"/>
    <w:rsid w:val="00966467"/>
    <w:rsid w:val="009714FB"/>
    <w:rsid w:val="00981800"/>
    <w:rsid w:val="009940A2"/>
    <w:rsid w:val="00994209"/>
    <w:rsid w:val="009A230D"/>
    <w:rsid w:val="009A6610"/>
    <w:rsid w:val="009B13E5"/>
    <w:rsid w:val="009B5480"/>
    <w:rsid w:val="009C503F"/>
    <w:rsid w:val="009E63FD"/>
    <w:rsid w:val="009F4E55"/>
    <w:rsid w:val="009F5A31"/>
    <w:rsid w:val="009F68F4"/>
    <w:rsid w:val="00A01695"/>
    <w:rsid w:val="00A07A88"/>
    <w:rsid w:val="00A11E42"/>
    <w:rsid w:val="00A13809"/>
    <w:rsid w:val="00A26F9F"/>
    <w:rsid w:val="00A35CE1"/>
    <w:rsid w:val="00A364C2"/>
    <w:rsid w:val="00A56824"/>
    <w:rsid w:val="00A574D1"/>
    <w:rsid w:val="00A63A55"/>
    <w:rsid w:val="00A712AF"/>
    <w:rsid w:val="00A75176"/>
    <w:rsid w:val="00A7644B"/>
    <w:rsid w:val="00A900CA"/>
    <w:rsid w:val="00A90A6C"/>
    <w:rsid w:val="00A940F2"/>
    <w:rsid w:val="00A95CFF"/>
    <w:rsid w:val="00A97A23"/>
    <w:rsid w:val="00AA11C6"/>
    <w:rsid w:val="00AA1E56"/>
    <w:rsid w:val="00AA20D1"/>
    <w:rsid w:val="00AA25DA"/>
    <w:rsid w:val="00AB0AAB"/>
    <w:rsid w:val="00AB5B5F"/>
    <w:rsid w:val="00AC1EBE"/>
    <w:rsid w:val="00AC3210"/>
    <w:rsid w:val="00AC39D0"/>
    <w:rsid w:val="00AD06FB"/>
    <w:rsid w:val="00AD16F8"/>
    <w:rsid w:val="00AE1E00"/>
    <w:rsid w:val="00AE4D37"/>
    <w:rsid w:val="00AE67DB"/>
    <w:rsid w:val="00AE7134"/>
    <w:rsid w:val="00AF3F5C"/>
    <w:rsid w:val="00B100D2"/>
    <w:rsid w:val="00B1497B"/>
    <w:rsid w:val="00B164A1"/>
    <w:rsid w:val="00B23240"/>
    <w:rsid w:val="00B3199F"/>
    <w:rsid w:val="00B31F0B"/>
    <w:rsid w:val="00B326C5"/>
    <w:rsid w:val="00B43008"/>
    <w:rsid w:val="00B47849"/>
    <w:rsid w:val="00B54D4C"/>
    <w:rsid w:val="00B5584F"/>
    <w:rsid w:val="00B609AE"/>
    <w:rsid w:val="00B72CC0"/>
    <w:rsid w:val="00B75139"/>
    <w:rsid w:val="00B875F8"/>
    <w:rsid w:val="00B91B48"/>
    <w:rsid w:val="00B91E24"/>
    <w:rsid w:val="00B92FE2"/>
    <w:rsid w:val="00B93F64"/>
    <w:rsid w:val="00BA495E"/>
    <w:rsid w:val="00BB2D71"/>
    <w:rsid w:val="00BC1CE0"/>
    <w:rsid w:val="00BC26AD"/>
    <w:rsid w:val="00BC3221"/>
    <w:rsid w:val="00BC4160"/>
    <w:rsid w:val="00BD10EA"/>
    <w:rsid w:val="00BD4043"/>
    <w:rsid w:val="00BD58F9"/>
    <w:rsid w:val="00BE41A6"/>
    <w:rsid w:val="00BE77B7"/>
    <w:rsid w:val="00BF0F5F"/>
    <w:rsid w:val="00BF13AA"/>
    <w:rsid w:val="00C004AD"/>
    <w:rsid w:val="00C13996"/>
    <w:rsid w:val="00C20855"/>
    <w:rsid w:val="00C218BA"/>
    <w:rsid w:val="00C30D72"/>
    <w:rsid w:val="00C351E6"/>
    <w:rsid w:val="00C361A3"/>
    <w:rsid w:val="00C40AA7"/>
    <w:rsid w:val="00C421E8"/>
    <w:rsid w:val="00C42C38"/>
    <w:rsid w:val="00C43888"/>
    <w:rsid w:val="00C530DE"/>
    <w:rsid w:val="00C530EE"/>
    <w:rsid w:val="00C53709"/>
    <w:rsid w:val="00C555D4"/>
    <w:rsid w:val="00C6051E"/>
    <w:rsid w:val="00C654D9"/>
    <w:rsid w:val="00C65F0D"/>
    <w:rsid w:val="00C75D64"/>
    <w:rsid w:val="00C76B16"/>
    <w:rsid w:val="00C77A41"/>
    <w:rsid w:val="00C81A79"/>
    <w:rsid w:val="00C8351E"/>
    <w:rsid w:val="00C907E8"/>
    <w:rsid w:val="00C9547F"/>
    <w:rsid w:val="00CB0317"/>
    <w:rsid w:val="00CB1119"/>
    <w:rsid w:val="00CB16F4"/>
    <w:rsid w:val="00CB5CB1"/>
    <w:rsid w:val="00CB7CE3"/>
    <w:rsid w:val="00CC42C6"/>
    <w:rsid w:val="00CC4EA3"/>
    <w:rsid w:val="00CD1240"/>
    <w:rsid w:val="00CE76F1"/>
    <w:rsid w:val="00CE7D11"/>
    <w:rsid w:val="00CF08B9"/>
    <w:rsid w:val="00CF17F5"/>
    <w:rsid w:val="00CF3F8A"/>
    <w:rsid w:val="00CF435B"/>
    <w:rsid w:val="00D00E78"/>
    <w:rsid w:val="00D32E27"/>
    <w:rsid w:val="00D34CF0"/>
    <w:rsid w:val="00D47B43"/>
    <w:rsid w:val="00D57846"/>
    <w:rsid w:val="00D66DC3"/>
    <w:rsid w:val="00D70FF8"/>
    <w:rsid w:val="00D72436"/>
    <w:rsid w:val="00D7343A"/>
    <w:rsid w:val="00D7362C"/>
    <w:rsid w:val="00D762FE"/>
    <w:rsid w:val="00D80A36"/>
    <w:rsid w:val="00D818A9"/>
    <w:rsid w:val="00D87A41"/>
    <w:rsid w:val="00D91B3E"/>
    <w:rsid w:val="00D948B7"/>
    <w:rsid w:val="00D953F0"/>
    <w:rsid w:val="00D97BB5"/>
    <w:rsid w:val="00DA1372"/>
    <w:rsid w:val="00DA43AC"/>
    <w:rsid w:val="00DA67B3"/>
    <w:rsid w:val="00DD2042"/>
    <w:rsid w:val="00DD2A3C"/>
    <w:rsid w:val="00DD6B84"/>
    <w:rsid w:val="00DE6F82"/>
    <w:rsid w:val="00DF1491"/>
    <w:rsid w:val="00DF3C7F"/>
    <w:rsid w:val="00E12EF4"/>
    <w:rsid w:val="00E13856"/>
    <w:rsid w:val="00E1745C"/>
    <w:rsid w:val="00E26754"/>
    <w:rsid w:val="00E321B5"/>
    <w:rsid w:val="00E35C11"/>
    <w:rsid w:val="00E3751E"/>
    <w:rsid w:val="00E44C4D"/>
    <w:rsid w:val="00E5358A"/>
    <w:rsid w:val="00E6177A"/>
    <w:rsid w:val="00E63C60"/>
    <w:rsid w:val="00E66AAF"/>
    <w:rsid w:val="00E713A2"/>
    <w:rsid w:val="00E75ADA"/>
    <w:rsid w:val="00E75EC4"/>
    <w:rsid w:val="00E771F6"/>
    <w:rsid w:val="00E7734E"/>
    <w:rsid w:val="00E86F70"/>
    <w:rsid w:val="00E9662D"/>
    <w:rsid w:val="00EB305E"/>
    <w:rsid w:val="00EB3398"/>
    <w:rsid w:val="00EB45C9"/>
    <w:rsid w:val="00EC21F8"/>
    <w:rsid w:val="00EC3E08"/>
    <w:rsid w:val="00EE0A8D"/>
    <w:rsid w:val="00EE1C9B"/>
    <w:rsid w:val="00EE4060"/>
    <w:rsid w:val="00EE6925"/>
    <w:rsid w:val="00EF4251"/>
    <w:rsid w:val="00F00728"/>
    <w:rsid w:val="00F01C11"/>
    <w:rsid w:val="00F01EF0"/>
    <w:rsid w:val="00F078CC"/>
    <w:rsid w:val="00F13494"/>
    <w:rsid w:val="00F141F5"/>
    <w:rsid w:val="00F17D5C"/>
    <w:rsid w:val="00F20327"/>
    <w:rsid w:val="00F2054C"/>
    <w:rsid w:val="00F25B0E"/>
    <w:rsid w:val="00F30B23"/>
    <w:rsid w:val="00F31964"/>
    <w:rsid w:val="00F52D9B"/>
    <w:rsid w:val="00F52DB6"/>
    <w:rsid w:val="00F54D03"/>
    <w:rsid w:val="00F60123"/>
    <w:rsid w:val="00F60AE5"/>
    <w:rsid w:val="00F62855"/>
    <w:rsid w:val="00F65BDB"/>
    <w:rsid w:val="00F67B9E"/>
    <w:rsid w:val="00F7114D"/>
    <w:rsid w:val="00F770D1"/>
    <w:rsid w:val="00F8059F"/>
    <w:rsid w:val="00F846E7"/>
    <w:rsid w:val="00F8552D"/>
    <w:rsid w:val="00F87197"/>
    <w:rsid w:val="00F877FF"/>
    <w:rsid w:val="00F97BBA"/>
    <w:rsid w:val="00FB64AB"/>
    <w:rsid w:val="00FC54BA"/>
    <w:rsid w:val="00FD3F8C"/>
    <w:rsid w:val="00FD7285"/>
    <w:rsid w:val="00FD7534"/>
    <w:rsid w:val="00FE7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059F"/>
    <w:pPr>
      <w:widowControl w:val="0"/>
      <w:suppressAutoHyphens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locked/>
    <w:rsid w:val="00BC41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AA20D1"/>
    <w:pPr>
      <w:keepNext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9"/>
    <w:qFormat/>
    <w:rsid w:val="00AA20D1"/>
    <w:pPr>
      <w:keepNext/>
      <w:outlineLvl w:val="3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0C07DD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0C07DD"/>
    <w:rPr>
      <w:rFonts w:ascii="Calibri" w:hAnsi="Calibri" w:cs="Times New Roman"/>
      <w:b/>
      <w:bCs/>
      <w:sz w:val="28"/>
      <w:szCs w:val="28"/>
    </w:rPr>
  </w:style>
  <w:style w:type="paragraph" w:styleId="lfej">
    <w:name w:val="header"/>
    <w:basedOn w:val="Norml"/>
    <w:link w:val="lfejChar"/>
    <w:uiPriority w:val="99"/>
    <w:rsid w:val="00C530E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AE7134"/>
    <w:rPr>
      <w:rFonts w:eastAsia="Times New Roman" w:cs="Times New Roman"/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uiPriority w:val="99"/>
    <w:rsid w:val="00C530E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0C07DD"/>
    <w:rPr>
      <w:rFonts w:cs="Times New Roman"/>
      <w:sz w:val="24"/>
      <w:szCs w:val="24"/>
    </w:rPr>
  </w:style>
  <w:style w:type="character" w:styleId="Hiperhivatkozs">
    <w:name w:val="Hyperlink"/>
    <w:basedOn w:val="Bekezdsalapbettpusa"/>
    <w:uiPriority w:val="99"/>
    <w:rsid w:val="00C530EE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23702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0C07DD"/>
    <w:rPr>
      <w:rFonts w:cs="Times New Roman"/>
      <w:sz w:val="2"/>
    </w:rPr>
  </w:style>
  <w:style w:type="paragraph" w:styleId="Szvegtrzs">
    <w:name w:val="Body Text"/>
    <w:basedOn w:val="Norml"/>
    <w:link w:val="SzvegtrzsChar"/>
    <w:uiPriority w:val="99"/>
    <w:rsid w:val="00AA20D1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0C07DD"/>
    <w:rPr>
      <w:rFonts w:cs="Times New Roman"/>
      <w:sz w:val="24"/>
      <w:szCs w:val="24"/>
    </w:rPr>
  </w:style>
  <w:style w:type="paragraph" w:styleId="Vgjegyzetszvege">
    <w:name w:val="endnote text"/>
    <w:basedOn w:val="Norml"/>
    <w:link w:val="VgjegyzetszvegeChar"/>
    <w:uiPriority w:val="99"/>
    <w:semiHidden/>
    <w:rsid w:val="004B57E9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C07DD"/>
    <w:rPr>
      <w:rFonts w:cs="Times New Roman"/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rsid w:val="004B57E9"/>
    <w:rPr>
      <w:rFonts w:cs="Times New Roman"/>
      <w:vertAlign w:val="superscript"/>
    </w:rPr>
  </w:style>
  <w:style w:type="paragraph" w:customStyle="1" w:styleId="justify">
    <w:name w:val="justify"/>
    <w:basedOn w:val="Norml"/>
    <w:uiPriority w:val="99"/>
    <w:rsid w:val="00CD1240"/>
    <w:pPr>
      <w:spacing w:before="100" w:beforeAutospacing="1" w:after="100" w:afterAutospacing="1"/>
      <w:jc w:val="both"/>
    </w:pPr>
    <w:rPr>
      <w:rFonts w:ascii="Verdana" w:hAnsi="Verdana"/>
      <w:color w:val="000000"/>
      <w:sz w:val="16"/>
      <w:szCs w:val="16"/>
    </w:rPr>
  </w:style>
  <w:style w:type="character" w:customStyle="1" w:styleId="st">
    <w:name w:val="st"/>
    <w:basedOn w:val="Bekezdsalapbettpusa"/>
    <w:uiPriority w:val="99"/>
    <w:rsid w:val="00E6177A"/>
    <w:rPr>
      <w:rFonts w:cs="Times New Roman"/>
    </w:rPr>
  </w:style>
  <w:style w:type="character" w:styleId="Kiemels">
    <w:name w:val="Emphasis"/>
    <w:basedOn w:val="Bekezdsalapbettpusa"/>
    <w:uiPriority w:val="99"/>
    <w:qFormat/>
    <w:rsid w:val="00E6177A"/>
    <w:rPr>
      <w:rFonts w:cs="Times New Roman"/>
      <w:i/>
      <w:iCs/>
    </w:rPr>
  </w:style>
  <w:style w:type="character" w:customStyle="1" w:styleId="E-mailStlus32">
    <w:name w:val="E-mailStílus321"/>
    <w:aliases w:val="E-mailStílus321"/>
    <w:basedOn w:val="Bekezdsalapbettpusa"/>
    <w:uiPriority w:val="99"/>
    <w:semiHidden/>
    <w:personal/>
    <w:rsid w:val="00AA25DA"/>
    <w:rPr>
      <w:rFonts w:ascii="Times New Roman" w:hAnsi="Times New Roman" w:cs="Times New Roman"/>
      <w:color w:val="auto"/>
      <w:sz w:val="24"/>
      <w:szCs w:val="24"/>
      <w:u w:val="none"/>
    </w:rPr>
  </w:style>
  <w:style w:type="character" w:styleId="Mrltotthiperhivatkozs">
    <w:name w:val="FollowedHyperlink"/>
    <w:basedOn w:val="Bekezdsalapbettpusa"/>
    <w:uiPriority w:val="99"/>
    <w:rsid w:val="00A364C2"/>
    <w:rPr>
      <w:rFonts w:cs="Times New Roman"/>
      <w:color w:val="800080"/>
      <w:u w:val="single"/>
    </w:rPr>
  </w:style>
  <w:style w:type="table" w:styleId="Rcsostblzat">
    <w:name w:val="Table Grid"/>
    <w:basedOn w:val="Normltblzat"/>
    <w:uiPriority w:val="99"/>
    <w:rsid w:val="00C907E8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5276A6"/>
    <w:pPr>
      <w:suppressAutoHyphens/>
    </w:pPr>
    <w:rPr>
      <w:color w:val="000000"/>
      <w:kern w:val="1"/>
      <w:sz w:val="24"/>
      <w:szCs w:val="24"/>
      <w:lang w:eastAsia="ar-SA"/>
    </w:rPr>
  </w:style>
  <w:style w:type="character" w:styleId="Oldalszm">
    <w:name w:val="page number"/>
    <w:basedOn w:val="Bekezdsalapbettpusa"/>
    <w:uiPriority w:val="99"/>
    <w:rsid w:val="00C30D72"/>
    <w:rPr>
      <w:rFonts w:cs="Times New Roman"/>
    </w:rPr>
  </w:style>
  <w:style w:type="character" w:styleId="Jegyzethivatkozs">
    <w:name w:val="annotation reference"/>
    <w:basedOn w:val="Bekezdsalapbettpusa"/>
    <w:uiPriority w:val="99"/>
    <w:semiHidden/>
    <w:unhideWhenUsed/>
    <w:rsid w:val="00A90A6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90A6C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90A6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90A6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90A6C"/>
    <w:rPr>
      <w:b/>
      <w:bCs/>
    </w:rPr>
  </w:style>
  <w:style w:type="character" w:customStyle="1" w:styleId="Cmsor1Char">
    <w:name w:val="Címsor 1 Char"/>
    <w:basedOn w:val="Bekezdsalapbettpusa"/>
    <w:link w:val="Cmsor1"/>
    <w:rsid w:val="00BC41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9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5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5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5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5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539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Ilja Pirkov Alpogármester Úr részére</vt:lpstr>
    </vt:vector>
  </TitlesOfParts>
  <Company>IT</Company>
  <LinksUpToDate>false</LinksUpToDate>
  <CharactersWithSpaces>4257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Ilja Pirkov Alpogármester Úr részére</dc:title>
  <dc:creator>PHIV</dc:creator>
  <cp:lastModifiedBy>pedit</cp:lastModifiedBy>
  <cp:revision>4</cp:revision>
  <cp:lastPrinted>2015-05-05T12:48:00Z</cp:lastPrinted>
  <dcterms:created xsi:type="dcterms:W3CDTF">2017-01-16T12:42:00Z</dcterms:created>
  <dcterms:modified xsi:type="dcterms:W3CDTF">2017-01-17T08:26:00Z</dcterms:modified>
</cp:coreProperties>
</file>