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13" w:rsidRPr="00893B13" w:rsidRDefault="00893B13" w:rsidP="00893B13">
      <w:pPr>
        <w:jc w:val="center"/>
        <w:rPr>
          <w:rFonts w:ascii="Times New Roman" w:hAnsi="Times New Roman" w:cs="Times New Roman"/>
          <w:b/>
          <w:sz w:val="32"/>
          <w:szCs w:val="32"/>
        </w:rPr>
      </w:pPr>
      <w:r w:rsidRPr="00893B13">
        <w:rPr>
          <w:rFonts w:ascii="Times New Roman" w:hAnsi="Times New Roman" w:cs="Times New Roman"/>
          <w:noProof/>
          <w:lang w:eastAsia="hu-HU"/>
        </w:rPr>
        <w:drawing>
          <wp:anchor distT="0" distB="0" distL="114300" distR="114300" simplePos="0" relativeHeight="251659264" behindDoc="1" locked="0" layoutInCell="1" allowOverlap="1">
            <wp:simplePos x="0" y="0"/>
            <wp:positionH relativeFrom="column">
              <wp:posOffset>216535</wp:posOffset>
            </wp:positionH>
            <wp:positionV relativeFrom="paragraph">
              <wp:posOffset>-673735</wp:posOffset>
            </wp:positionV>
            <wp:extent cx="1288415" cy="883920"/>
            <wp:effectExtent l="19050" t="0" r="6985" b="0"/>
            <wp:wrapNone/>
            <wp:docPr id="2" name="Kép 0" descr="cimer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cimerhn.png"/>
                    <pic:cNvPicPr>
                      <a:picLocks noChangeAspect="1" noChangeArrowheads="1"/>
                    </pic:cNvPicPr>
                  </pic:nvPicPr>
                  <pic:blipFill>
                    <a:blip r:embed="rId8" cstate="print"/>
                    <a:srcRect/>
                    <a:stretch>
                      <a:fillRect/>
                    </a:stretch>
                  </pic:blipFill>
                  <pic:spPr bwMode="auto">
                    <a:xfrm>
                      <a:off x="0" y="0"/>
                      <a:ext cx="1288415" cy="883920"/>
                    </a:xfrm>
                    <a:prstGeom prst="rect">
                      <a:avLst/>
                    </a:prstGeom>
                    <a:noFill/>
                  </pic:spPr>
                </pic:pic>
              </a:graphicData>
            </a:graphic>
          </wp:anchor>
        </w:drawing>
      </w:r>
      <w:r w:rsidRPr="00893B13">
        <w:rPr>
          <w:rFonts w:ascii="Times New Roman" w:hAnsi="Times New Roman" w:cs="Times New Roman"/>
          <w:b/>
          <w:sz w:val="32"/>
          <w:szCs w:val="32"/>
        </w:rPr>
        <w:t xml:space="preserve">                     Bonyhád Város Önkormányzata</w:t>
      </w:r>
    </w:p>
    <w:p w:rsidR="00893B13" w:rsidRPr="00893B13" w:rsidRDefault="00893B13" w:rsidP="00893B13">
      <w:pPr>
        <w:jc w:val="center"/>
        <w:rPr>
          <w:rFonts w:ascii="Times New Roman" w:hAnsi="Times New Roman" w:cs="Times New Roman"/>
          <w:b/>
        </w:rPr>
      </w:pPr>
      <w:r w:rsidRPr="00893B13">
        <w:rPr>
          <w:rFonts w:ascii="Times New Roman" w:hAnsi="Times New Roman" w:cs="Times New Roman"/>
          <w:b/>
        </w:rPr>
        <w:t>ELŐTERJESZTÉS</w:t>
      </w:r>
    </w:p>
    <w:p w:rsidR="00893B13" w:rsidRPr="00893B13" w:rsidRDefault="00893B13" w:rsidP="00893B13">
      <w:pPr>
        <w:jc w:val="center"/>
        <w:rPr>
          <w:rFonts w:ascii="Times New Roman" w:hAnsi="Times New Roman" w:cs="Times New Roman"/>
        </w:rPr>
      </w:pPr>
      <w:r w:rsidRPr="00893B13">
        <w:rPr>
          <w:rFonts w:ascii="Times New Roman" w:hAnsi="Times New Roman" w:cs="Times New Roman"/>
        </w:rPr>
        <w:t>Bonyhád Város Önkormányz</w:t>
      </w:r>
      <w:r w:rsidR="00686DB2">
        <w:rPr>
          <w:rFonts w:ascii="Times New Roman" w:hAnsi="Times New Roman" w:cs="Times New Roman"/>
        </w:rPr>
        <w:t>ata Képviselő- testületének 2016</w:t>
      </w:r>
      <w:r w:rsidRPr="00893B13">
        <w:rPr>
          <w:rFonts w:ascii="Times New Roman" w:hAnsi="Times New Roman" w:cs="Times New Roman"/>
        </w:rPr>
        <w:t xml:space="preserve">. </w:t>
      </w:r>
      <w:r w:rsidR="00686DB2">
        <w:rPr>
          <w:rFonts w:ascii="Times New Roman" w:hAnsi="Times New Roman" w:cs="Times New Roman"/>
        </w:rPr>
        <w:t>január 28.</w:t>
      </w:r>
    </w:p>
    <w:p w:rsidR="00893B13" w:rsidRPr="00893B13" w:rsidRDefault="00893B13" w:rsidP="00172C41">
      <w:pPr>
        <w:jc w:val="center"/>
        <w:rPr>
          <w:rFonts w:ascii="Times New Roman" w:hAnsi="Times New Roman" w:cs="Times New Roman"/>
        </w:rPr>
      </w:pPr>
      <w:proofErr w:type="gramStart"/>
      <w:r w:rsidRPr="00893B13">
        <w:rPr>
          <w:rFonts w:ascii="Times New Roman" w:hAnsi="Times New Roman" w:cs="Times New Roman"/>
          <w:u w:val="single"/>
        </w:rPr>
        <w:t>rendes</w:t>
      </w:r>
      <w:proofErr w:type="gramEnd"/>
      <w:r w:rsidRPr="00893B13">
        <w:rPr>
          <w:rFonts w:ascii="Times New Roman" w:hAnsi="Times New Roman" w:cs="Times New Roman"/>
        </w:rPr>
        <w:t>/rendkívüli testületi ülésére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93B13" w:rsidRPr="00893B13" w:rsidTr="00893B13">
        <w:tc>
          <w:tcPr>
            <w:tcW w:w="4606" w:type="dxa"/>
          </w:tcPr>
          <w:p w:rsidR="00893B13" w:rsidRPr="00893B13" w:rsidRDefault="00893B13" w:rsidP="00893B13">
            <w:pPr>
              <w:spacing w:after="0"/>
              <w:rPr>
                <w:rFonts w:ascii="Times New Roman" w:hAnsi="Times New Roman" w:cs="Times New Roman"/>
              </w:rPr>
            </w:pPr>
            <w:r w:rsidRPr="00893B13">
              <w:rPr>
                <w:rFonts w:ascii="Times New Roman" w:hAnsi="Times New Roman" w:cs="Times New Roman"/>
              </w:rPr>
              <w:t>Tárgy:</w:t>
            </w:r>
          </w:p>
        </w:tc>
        <w:tc>
          <w:tcPr>
            <w:tcW w:w="4606" w:type="dxa"/>
          </w:tcPr>
          <w:p w:rsidR="00893B13" w:rsidRPr="00893B13" w:rsidRDefault="00893B13" w:rsidP="00893B13">
            <w:pPr>
              <w:spacing w:after="0"/>
              <w:jc w:val="both"/>
              <w:rPr>
                <w:rFonts w:ascii="Times New Roman" w:hAnsi="Times New Roman" w:cs="Times New Roman"/>
              </w:rPr>
            </w:pPr>
            <w:r w:rsidRPr="00893B13">
              <w:rPr>
                <w:rFonts w:ascii="Times New Roman" w:hAnsi="Times New Roman" w:cs="Times New Roman"/>
              </w:rPr>
              <w:t>Beszámoló az adóigazgatási feladatok ellátásáról</w:t>
            </w:r>
          </w:p>
        </w:tc>
      </w:tr>
      <w:tr w:rsidR="00893B13" w:rsidRPr="00893B13" w:rsidTr="00893B13">
        <w:tc>
          <w:tcPr>
            <w:tcW w:w="4606" w:type="dxa"/>
          </w:tcPr>
          <w:p w:rsidR="00893B13" w:rsidRPr="00893B13" w:rsidRDefault="00893B13" w:rsidP="00893B13">
            <w:pPr>
              <w:spacing w:after="0"/>
              <w:rPr>
                <w:rFonts w:ascii="Times New Roman" w:hAnsi="Times New Roman" w:cs="Times New Roman"/>
              </w:rPr>
            </w:pPr>
            <w:r w:rsidRPr="00893B13">
              <w:rPr>
                <w:rFonts w:ascii="Times New Roman" w:hAnsi="Times New Roman" w:cs="Times New Roman"/>
              </w:rPr>
              <w:t>Előterjesztő:</w:t>
            </w:r>
          </w:p>
        </w:tc>
        <w:tc>
          <w:tcPr>
            <w:tcW w:w="4606" w:type="dxa"/>
          </w:tcPr>
          <w:p w:rsidR="00893B13" w:rsidRPr="00893B13" w:rsidRDefault="00893B13" w:rsidP="00D94CAE">
            <w:pPr>
              <w:spacing w:after="0"/>
              <w:rPr>
                <w:rFonts w:ascii="Times New Roman" w:hAnsi="Times New Roman" w:cs="Times New Roman"/>
              </w:rPr>
            </w:pPr>
            <w:proofErr w:type="spellStart"/>
            <w:r w:rsidRPr="00893B13">
              <w:rPr>
                <w:rFonts w:ascii="Times New Roman" w:hAnsi="Times New Roman" w:cs="Times New Roman"/>
              </w:rPr>
              <w:t>Fauszt</w:t>
            </w:r>
            <w:proofErr w:type="spellEnd"/>
            <w:r w:rsidRPr="00893B13">
              <w:rPr>
                <w:rFonts w:ascii="Times New Roman" w:hAnsi="Times New Roman" w:cs="Times New Roman"/>
              </w:rPr>
              <w:t xml:space="preserve"> Józsefné pénzügyi osztályvezető </w:t>
            </w:r>
          </w:p>
        </w:tc>
      </w:tr>
      <w:tr w:rsidR="00893B13" w:rsidRPr="00893B13" w:rsidTr="00893B13">
        <w:tc>
          <w:tcPr>
            <w:tcW w:w="4606" w:type="dxa"/>
          </w:tcPr>
          <w:p w:rsidR="00893B13" w:rsidRPr="00893B13" w:rsidRDefault="00893B13" w:rsidP="00893B13">
            <w:pPr>
              <w:spacing w:after="0"/>
              <w:rPr>
                <w:rFonts w:ascii="Times New Roman" w:hAnsi="Times New Roman" w:cs="Times New Roman"/>
              </w:rPr>
            </w:pPr>
            <w:r w:rsidRPr="00893B13">
              <w:rPr>
                <w:rFonts w:ascii="Times New Roman" w:hAnsi="Times New Roman" w:cs="Times New Roman"/>
              </w:rPr>
              <w:t>Előterjesztést készítette:</w:t>
            </w:r>
          </w:p>
        </w:tc>
        <w:tc>
          <w:tcPr>
            <w:tcW w:w="4606" w:type="dxa"/>
          </w:tcPr>
          <w:p w:rsidR="00893B13" w:rsidRPr="00893B13" w:rsidRDefault="00893B13" w:rsidP="00893B13">
            <w:pPr>
              <w:spacing w:after="0"/>
              <w:rPr>
                <w:rFonts w:ascii="Times New Roman" w:hAnsi="Times New Roman" w:cs="Times New Roman"/>
              </w:rPr>
            </w:pPr>
            <w:proofErr w:type="spellStart"/>
            <w:r w:rsidRPr="00893B13">
              <w:rPr>
                <w:rFonts w:ascii="Times New Roman" w:hAnsi="Times New Roman" w:cs="Times New Roman"/>
              </w:rPr>
              <w:t>Fauszt</w:t>
            </w:r>
            <w:proofErr w:type="spellEnd"/>
            <w:r w:rsidRPr="00893B13">
              <w:rPr>
                <w:rFonts w:ascii="Times New Roman" w:hAnsi="Times New Roman" w:cs="Times New Roman"/>
              </w:rPr>
              <w:t xml:space="preserve"> Józsefné pénzügyi osztályvezető</w:t>
            </w:r>
          </w:p>
          <w:p w:rsidR="00893B13" w:rsidRPr="00893B13" w:rsidRDefault="00D94CAE" w:rsidP="00D94CAE">
            <w:pPr>
              <w:spacing w:after="0"/>
              <w:rPr>
                <w:rFonts w:ascii="Times New Roman" w:hAnsi="Times New Roman" w:cs="Times New Roman"/>
              </w:rPr>
            </w:pPr>
            <w:r w:rsidRPr="00893B13">
              <w:rPr>
                <w:rFonts w:ascii="Times New Roman" w:hAnsi="Times New Roman" w:cs="Times New Roman"/>
              </w:rPr>
              <w:t xml:space="preserve">Fehérvári Zoltánné </w:t>
            </w:r>
            <w:r>
              <w:rPr>
                <w:rFonts w:ascii="Times New Roman" w:hAnsi="Times New Roman" w:cs="Times New Roman"/>
              </w:rPr>
              <w:t xml:space="preserve">adó </w:t>
            </w:r>
            <w:r w:rsidRPr="00893B13">
              <w:rPr>
                <w:rFonts w:ascii="Times New Roman" w:hAnsi="Times New Roman" w:cs="Times New Roman"/>
              </w:rPr>
              <w:t>csoportvezető</w:t>
            </w:r>
          </w:p>
        </w:tc>
      </w:tr>
      <w:tr w:rsidR="00893B13" w:rsidRPr="00893B13" w:rsidTr="00893B13">
        <w:tc>
          <w:tcPr>
            <w:tcW w:w="4606" w:type="dxa"/>
          </w:tcPr>
          <w:p w:rsidR="00893B13" w:rsidRPr="00893B13" w:rsidRDefault="00893B13" w:rsidP="00893B13">
            <w:pPr>
              <w:spacing w:after="0"/>
              <w:rPr>
                <w:rFonts w:ascii="Times New Roman" w:hAnsi="Times New Roman" w:cs="Times New Roman"/>
              </w:rPr>
            </w:pPr>
            <w:r w:rsidRPr="00893B13">
              <w:rPr>
                <w:rFonts w:ascii="Times New Roman" w:hAnsi="Times New Roman" w:cs="Times New Roman"/>
              </w:rPr>
              <w:t>Előterjesztés száma:</w:t>
            </w:r>
          </w:p>
        </w:tc>
        <w:tc>
          <w:tcPr>
            <w:tcW w:w="4606" w:type="dxa"/>
          </w:tcPr>
          <w:p w:rsidR="00893B13" w:rsidRPr="00893B13" w:rsidRDefault="000C68E5" w:rsidP="000C68E5">
            <w:pPr>
              <w:spacing w:after="0"/>
              <w:rPr>
                <w:rFonts w:ascii="Times New Roman" w:hAnsi="Times New Roman" w:cs="Times New Roman"/>
              </w:rPr>
            </w:pPr>
            <w:r>
              <w:rPr>
                <w:rFonts w:ascii="Times New Roman" w:hAnsi="Times New Roman" w:cs="Times New Roman"/>
              </w:rPr>
              <w:t>13</w:t>
            </w:r>
            <w:proofErr w:type="gramStart"/>
            <w:r>
              <w:rPr>
                <w:rFonts w:ascii="Times New Roman" w:hAnsi="Times New Roman" w:cs="Times New Roman"/>
              </w:rPr>
              <w:t>.</w:t>
            </w:r>
            <w:r w:rsidR="00893B13" w:rsidRPr="00893B13">
              <w:rPr>
                <w:rFonts w:ascii="Times New Roman" w:hAnsi="Times New Roman" w:cs="Times New Roman"/>
              </w:rPr>
              <w:t>sz.</w:t>
            </w:r>
            <w:proofErr w:type="gramEnd"/>
          </w:p>
        </w:tc>
      </w:tr>
      <w:tr w:rsidR="00893B13" w:rsidRPr="00893B13" w:rsidTr="00893B13">
        <w:tc>
          <w:tcPr>
            <w:tcW w:w="4606" w:type="dxa"/>
          </w:tcPr>
          <w:p w:rsidR="00893B13" w:rsidRPr="00893B13" w:rsidRDefault="00893B13" w:rsidP="00893B13">
            <w:pPr>
              <w:spacing w:after="0"/>
              <w:rPr>
                <w:rFonts w:ascii="Times New Roman" w:hAnsi="Times New Roman" w:cs="Times New Roman"/>
              </w:rPr>
            </w:pPr>
            <w:r w:rsidRPr="00893B13">
              <w:rPr>
                <w:rFonts w:ascii="Times New Roman" w:hAnsi="Times New Roman" w:cs="Times New Roman"/>
              </w:rPr>
              <w:t>Előzetesen tárgyalja:</w:t>
            </w:r>
          </w:p>
        </w:tc>
        <w:tc>
          <w:tcPr>
            <w:tcW w:w="4606" w:type="dxa"/>
          </w:tcPr>
          <w:p w:rsidR="00893B13" w:rsidRPr="00893B13" w:rsidRDefault="00893B13" w:rsidP="00893B13">
            <w:pPr>
              <w:spacing w:after="0"/>
              <w:rPr>
                <w:rFonts w:ascii="Times New Roman" w:hAnsi="Times New Roman" w:cs="Times New Roman"/>
                <w:highlight w:val="yellow"/>
              </w:rPr>
            </w:pPr>
            <w:r w:rsidRPr="00893B13">
              <w:rPr>
                <w:rFonts w:ascii="Times New Roman" w:hAnsi="Times New Roman" w:cs="Times New Roman"/>
              </w:rPr>
              <w:t>Pénzügyi Ellenőrző é Gazdasági Bizottság</w:t>
            </w:r>
          </w:p>
        </w:tc>
      </w:tr>
      <w:tr w:rsidR="00893B13" w:rsidRPr="00893B13" w:rsidTr="00893B13">
        <w:tc>
          <w:tcPr>
            <w:tcW w:w="4606" w:type="dxa"/>
          </w:tcPr>
          <w:p w:rsidR="00893B13" w:rsidRPr="00893B13" w:rsidRDefault="00893B13" w:rsidP="00893B13">
            <w:pPr>
              <w:spacing w:after="0"/>
              <w:rPr>
                <w:rFonts w:ascii="Times New Roman" w:hAnsi="Times New Roman" w:cs="Times New Roman"/>
              </w:rPr>
            </w:pPr>
            <w:r w:rsidRPr="00893B13">
              <w:rPr>
                <w:rFonts w:ascii="Times New Roman" w:hAnsi="Times New Roman" w:cs="Times New Roman"/>
              </w:rPr>
              <w:t>Az előterjesztés a jogszabályi feltételeknek megfelel:</w:t>
            </w:r>
          </w:p>
        </w:tc>
        <w:tc>
          <w:tcPr>
            <w:tcW w:w="4606" w:type="dxa"/>
          </w:tcPr>
          <w:p w:rsidR="00893B13" w:rsidRPr="00893B13" w:rsidRDefault="00893B13" w:rsidP="00893B13">
            <w:pPr>
              <w:spacing w:after="0"/>
              <w:rPr>
                <w:rFonts w:ascii="Times New Roman" w:hAnsi="Times New Roman" w:cs="Times New Roman"/>
              </w:rPr>
            </w:pPr>
          </w:p>
          <w:p w:rsidR="00893B13" w:rsidRPr="00893B13" w:rsidRDefault="00893B13" w:rsidP="00893B13">
            <w:pPr>
              <w:spacing w:after="0"/>
              <w:rPr>
                <w:rFonts w:ascii="Times New Roman" w:hAnsi="Times New Roman" w:cs="Times New Roman"/>
              </w:rPr>
            </w:pPr>
            <w:r w:rsidRPr="00893B13">
              <w:rPr>
                <w:rFonts w:ascii="Times New Roman" w:hAnsi="Times New Roman" w:cs="Times New Roman"/>
              </w:rPr>
              <w:t>Dr. Puskásné Dr. Szeghy Petra jegyző</w:t>
            </w:r>
          </w:p>
        </w:tc>
      </w:tr>
      <w:tr w:rsidR="00893B13" w:rsidRPr="00893B13" w:rsidTr="00893B13">
        <w:tc>
          <w:tcPr>
            <w:tcW w:w="4606" w:type="dxa"/>
          </w:tcPr>
          <w:p w:rsidR="00893B13" w:rsidRPr="00893B13" w:rsidRDefault="00893B13" w:rsidP="00893B13">
            <w:pPr>
              <w:spacing w:after="0"/>
              <w:rPr>
                <w:rFonts w:ascii="Times New Roman" w:hAnsi="Times New Roman" w:cs="Times New Roman"/>
              </w:rPr>
            </w:pPr>
            <w:r w:rsidRPr="00893B13">
              <w:rPr>
                <w:rFonts w:ascii="Times New Roman" w:hAnsi="Times New Roman" w:cs="Times New Roman"/>
              </w:rPr>
              <w:t>A döntéshez szükséges többség:</w:t>
            </w:r>
          </w:p>
        </w:tc>
        <w:tc>
          <w:tcPr>
            <w:tcW w:w="4606" w:type="dxa"/>
          </w:tcPr>
          <w:p w:rsidR="00893B13" w:rsidRPr="00893B13" w:rsidRDefault="00893B13" w:rsidP="00893B13">
            <w:pPr>
              <w:spacing w:after="0"/>
              <w:rPr>
                <w:rFonts w:ascii="Times New Roman" w:hAnsi="Times New Roman" w:cs="Times New Roman"/>
                <w:u w:val="single"/>
              </w:rPr>
            </w:pPr>
            <w:r w:rsidRPr="000829C2">
              <w:rPr>
                <w:rFonts w:ascii="Times New Roman" w:hAnsi="Times New Roman" w:cs="Times New Roman"/>
                <w:u w:val="single"/>
              </w:rPr>
              <w:t>egyszerű</w:t>
            </w:r>
            <w:r w:rsidRPr="00893B13">
              <w:rPr>
                <w:rFonts w:ascii="Times New Roman" w:hAnsi="Times New Roman" w:cs="Times New Roman"/>
                <w:u w:val="single"/>
              </w:rPr>
              <w:t>/</w:t>
            </w:r>
            <w:r w:rsidRPr="000829C2">
              <w:rPr>
                <w:rFonts w:ascii="Times New Roman" w:hAnsi="Times New Roman" w:cs="Times New Roman"/>
              </w:rPr>
              <w:t>minősített</w:t>
            </w:r>
          </w:p>
        </w:tc>
      </w:tr>
      <w:tr w:rsidR="00893B13" w:rsidRPr="00893B13" w:rsidTr="00893B13">
        <w:tc>
          <w:tcPr>
            <w:tcW w:w="4606" w:type="dxa"/>
          </w:tcPr>
          <w:p w:rsidR="00893B13" w:rsidRPr="00893B13" w:rsidRDefault="00893B13" w:rsidP="00893B13">
            <w:pPr>
              <w:spacing w:after="0"/>
              <w:rPr>
                <w:rFonts w:ascii="Times New Roman" w:hAnsi="Times New Roman" w:cs="Times New Roman"/>
              </w:rPr>
            </w:pPr>
            <w:r w:rsidRPr="00893B13">
              <w:rPr>
                <w:rFonts w:ascii="Times New Roman" w:hAnsi="Times New Roman" w:cs="Times New Roman"/>
              </w:rPr>
              <w:t>Döntési forma:</w:t>
            </w:r>
          </w:p>
        </w:tc>
        <w:tc>
          <w:tcPr>
            <w:tcW w:w="4606" w:type="dxa"/>
          </w:tcPr>
          <w:p w:rsidR="00893B13" w:rsidRPr="00893B13" w:rsidRDefault="00893B13" w:rsidP="00893B13">
            <w:pPr>
              <w:spacing w:after="0"/>
              <w:rPr>
                <w:rFonts w:ascii="Times New Roman" w:hAnsi="Times New Roman" w:cs="Times New Roman"/>
              </w:rPr>
            </w:pPr>
            <w:r w:rsidRPr="000829C2">
              <w:rPr>
                <w:rFonts w:ascii="Times New Roman" w:hAnsi="Times New Roman" w:cs="Times New Roman"/>
              </w:rPr>
              <w:t>rendelet</w:t>
            </w:r>
            <w:r w:rsidRPr="00893B13">
              <w:rPr>
                <w:rFonts w:ascii="Times New Roman" w:hAnsi="Times New Roman" w:cs="Times New Roman"/>
              </w:rPr>
              <w:t>/</w:t>
            </w:r>
            <w:r w:rsidRPr="000829C2">
              <w:rPr>
                <w:rFonts w:ascii="Times New Roman" w:hAnsi="Times New Roman" w:cs="Times New Roman"/>
                <w:u w:val="single"/>
              </w:rPr>
              <w:t>határozat</w:t>
            </w:r>
            <w:r w:rsidRPr="00893B13">
              <w:rPr>
                <w:rFonts w:ascii="Times New Roman" w:hAnsi="Times New Roman" w:cs="Times New Roman"/>
              </w:rPr>
              <w:t xml:space="preserve"> (normatív, hatósági, egyéb)</w:t>
            </w:r>
          </w:p>
        </w:tc>
      </w:tr>
      <w:tr w:rsidR="00893B13" w:rsidRPr="00893B13" w:rsidTr="00893B13">
        <w:tc>
          <w:tcPr>
            <w:tcW w:w="4606" w:type="dxa"/>
          </w:tcPr>
          <w:p w:rsidR="00893B13" w:rsidRPr="00893B13" w:rsidRDefault="00893B13" w:rsidP="00893B13">
            <w:pPr>
              <w:spacing w:after="0"/>
              <w:rPr>
                <w:rFonts w:ascii="Times New Roman" w:hAnsi="Times New Roman" w:cs="Times New Roman"/>
              </w:rPr>
            </w:pPr>
            <w:r w:rsidRPr="00893B13">
              <w:rPr>
                <w:rFonts w:ascii="Times New Roman" w:hAnsi="Times New Roman" w:cs="Times New Roman"/>
              </w:rPr>
              <w:t xml:space="preserve">Az előterjesztést </w:t>
            </w:r>
          </w:p>
        </w:tc>
        <w:tc>
          <w:tcPr>
            <w:tcW w:w="4606" w:type="dxa"/>
          </w:tcPr>
          <w:p w:rsidR="00893B13" w:rsidRPr="00893B13" w:rsidRDefault="00893B13" w:rsidP="00893B13">
            <w:pPr>
              <w:spacing w:after="0"/>
              <w:rPr>
                <w:rFonts w:ascii="Times New Roman" w:hAnsi="Times New Roman" w:cs="Times New Roman"/>
              </w:rPr>
            </w:pPr>
            <w:r w:rsidRPr="00893B13">
              <w:rPr>
                <w:rFonts w:ascii="Times New Roman" w:hAnsi="Times New Roman" w:cs="Times New Roman"/>
                <w:u w:val="single"/>
              </w:rPr>
              <w:t>nyílt ülésen kell</w:t>
            </w:r>
            <w:r w:rsidRPr="00893B13">
              <w:rPr>
                <w:rFonts w:ascii="Times New Roman" w:hAnsi="Times New Roman" w:cs="Times New Roman"/>
              </w:rPr>
              <w:t>/zárt ülésen kell/zárt ülésen lehet tárgyalni</w:t>
            </w:r>
          </w:p>
        </w:tc>
      </w:tr>
      <w:tr w:rsidR="00893B13" w:rsidRPr="00893B13" w:rsidTr="00893B13">
        <w:tc>
          <w:tcPr>
            <w:tcW w:w="4606" w:type="dxa"/>
          </w:tcPr>
          <w:p w:rsidR="00893B13" w:rsidRPr="00893B13" w:rsidRDefault="00893B13" w:rsidP="00893B13">
            <w:pPr>
              <w:spacing w:after="0"/>
              <w:rPr>
                <w:rFonts w:ascii="Times New Roman" w:hAnsi="Times New Roman" w:cs="Times New Roman"/>
              </w:rPr>
            </w:pPr>
            <w:r w:rsidRPr="00893B13">
              <w:rPr>
                <w:rFonts w:ascii="Times New Roman" w:hAnsi="Times New Roman" w:cs="Times New Roman"/>
              </w:rPr>
              <w:t>Véleményezésre megkapta:</w:t>
            </w:r>
          </w:p>
        </w:tc>
        <w:tc>
          <w:tcPr>
            <w:tcW w:w="4606" w:type="dxa"/>
          </w:tcPr>
          <w:p w:rsidR="00AB0BE4" w:rsidRDefault="00AB0BE4" w:rsidP="00893B13">
            <w:pPr>
              <w:spacing w:after="0"/>
              <w:rPr>
                <w:rFonts w:ascii="Times New Roman" w:hAnsi="Times New Roman" w:cs="Times New Roman"/>
              </w:rPr>
            </w:pPr>
          </w:p>
          <w:p w:rsidR="00893B13" w:rsidRPr="00893B13" w:rsidRDefault="00893B13" w:rsidP="00893B13">
            <w:pPr>
              <w:spacing w:after="0"/>
              <w:rPr>
                <w:rFonts w:ascii="Times New Roman" w:hAnsi="Times New Roman" w:cs="Times New Roman"/>
              </w:rPr>
            </w:pPr>
            <w:r w:rsidRPr="00893B13">
              <w:rPr>
                <w:rFonts w:ascii="Times New Roman" w:hAnsi="Times New Roman" w:cs="Times New Roman"/>
              </w:rPr>
              <w:t>Filóné Ferencz Ibolya polgármester</w:t>
            </w:r>
          </w:p>
        </w:tc>
      </w:tr>
    </w:tbl>
    <w:p w:rsidR="008C13F2" w:rsidRPr="008C13F2" w:rsidRDefault="008C13F2" w:rsidP="00893B13">
      <w:pPr>
        <w:spacing w:line="240" w:lineRule="auto"/>
        <w:rPr>
          <w:rFonts w:ascii="Times New Roman" w:hAnsi="Times New Roman" w:cs="Times New Roman"/>
          <w:sz w:val="24"/>
          <w:szCs w:val="24"/>
        </w:rPr>
      </w:pPr>
      <w:r w:rsidRPr="008C13F2">
        <w:rPr>
          <w:rFonts w:ascii="Times New Roman" w:hAnsi="Times New Roman" w:cs="Times New Roman"/>
          <w:sz w:val="24"/>
          <w:szCs w:val="24"/>
        </w:rPr>
        <w:t xml:space="preserve">     </w:t>
      </w:r>
      <w:r w:rsidRPr="008C13F2">
        <w:rPr>
          <w:rFonts w:ascii="Times New Roman" w:hAnsi="Times New Roman" w:cs="Times New Roman"/>
          <w:b/>
          <w:sz w:val="24"/>
          <w:szCs w:val="24"/>
        </w:rPr>
        <w:t>Tisztelt Képviselő-testület!</w:t>
      </w:r>
    </w:p>
    <w:p w:rsidR="00967F42" w:rsidRPr="008C13F2" w:rsidRDefault="00967F42" w:rsidP="008C13F2">
      <w:pPr>
        <w:spacing w:line="240" w:lineRule="auto"/>
        <w:jc w:val="both"/>
        <w:rPr>
          <w:rFonts w:ascii="Times New Roman" w:hAnsi="Times New Roman" w:cs="Times New Roman"/>
          <w:sz w:val="24"/>
          <w:szCs w:val="24"/>
        </w:rPr>
      </w:pPr>
      <w:r w:rsidRPr="008C13F2">
        <w:rPr>
          <w:rFonts w:ascii="Times New Roman" w:hAnsi="Times New Roman" w:cs="Times New Roman"/>
          <w:sz w:val="24"/>
          <w:szCs w:val="24"/>
        </w:rPr>
        <w:t xml:space="preserve">Az önkormányzás lényegi eleme a helyi közügyek intézése, a helyi közhatalom gyakorlása, ennek egyik fontos forrása a </w:t>
      </w:r>
      <w:r w:rsidRPr="008C13F2">
        <w:rPr>
          <w:rFonts w:ascii="Times New Roman" w:hAnsi="Times New Roman" w:cs="Times New Roman"/>
          <w:b/>
          <w:sz w:val="24"/>
          <w:szCs w:val="24"/>
        </w:rPr>
        <w:t>helyi adók rendszere</w:t>
      </w:r>
      <w:r w:rsidRPr="008C13F2">
        <w:rPr>
          <w:rFonts w:ascii="Times New Roman" w:hAnsi="Times New Roman" w:cs="Times New Roman"/>
          <w:sz w:val="24"/>
          <w:szCs w:val="24"/>
        </w:rPr>
        <w:t xml:space="preserve">. Magyarország helyi önkormányzatairól szóló 2011. évi CLXXXIX. törvény (továbbiakban: </w:t>
      </w:r>
      <w:proofErr w:type="spellStart"/>
      <w:r w:rsidRPr="008C13F2">
        <w:rPr>
          <w:rFonts w:ascii="Times New Roman" w:hAnsi="Times New Roman" w:cs="Times New Roman"/>
          <w:sz w:val="24"/>
          <w:szCs w:val="24"/>
        </w:rPr>
        <w:t>Mötv</w:t>
      </w:r>
      <w:proofErr w:type="spellEnd"/>
      <w:r w:rsidRPr="008C13F2">
        <w:rPr>
          <w:rFonts w:ascii="Times New Roman" w:hAnsi="Times New Roman" w:cs="Times New Roman"/>
          <w:sz w:val="24"/>
          <w:szCs w:val="24"/>
        </w:rPr>
        <w:t>.) szerint a kötelező feladatain túl, lehetősége van, hogy önként vállaljon helyi közügy önálló megoldását, amelynek finanszírozása a saját bevételek (</w:t>
      </w:r>
      <w:r w:rsidR="00832DF8" w:rsidRPr="008C13F2">
        <w:rPr>
          <w:rFonts w:ascii="Times New Roman" w:hAnsi="Times New Roman" w:cs="Times New Roman"/>
          <w:sz w:val="24"/>
          <w:szCs w:val="24"/>
        </w:rPr>
        <w:t>elsősorban a</w:t>
      </w:r>
      <w:r w:rsidRPr="008C13F2">
        <w:rPr>
          <w:rFonts w:ascii="Times New Roman" w:hAnsi="Times New Roman" w:cs="Times New Roman"/>
          <w:sz w:val="24"/>
          <w:szCs w:val="24"/>
        </w:rPr>
        <w:t xml:space="preserve"> </w:t>
      </w:r>
      <w:r w:rsidRPr="008C13F2">
        <w:rPr>
          <w:rFonts w:ascii="Times New Roman" w:hAnsi="Times New Roman" w:cs="Times New Roman"/>
          <w:b/>
          <w:sz w:val="24"/>
          <w:szCs w:val="24"/>
        </w:rPr>
        <w:t>helyi adó</w:t>
      </w:r>
      <w:r w:rsidR="00832DF8" w:rsidRPr="008C13F2">
        <w:rPr>
          <w:rFonts w:ascii="Times New Roman" w:hAnsi="Times New Roman" w:cs="Times New Roman"/>
          <w:b/>
          <w:sz w:val="24"/>
          <w:szCs w:val="24"/>
        </w:rPr>
        <w:t>k</w:t>
      </w:r>
      <w:r w:rsidRPr="008C13F2">
        <w:rPr>
          <w:rFonts w:ascii="Times New Roman" w:hAnsi="Times New Roman" w:cs="Times New Roman"/>
          <w:sz w:val="24"/>
          <w:szCs w:val="24"/>
        </w:rPr>
        <w:t xml:space="preserve">) által lehetséges. </w:t>
      </w:r>
    </w:p>
    <w:p w:rsidR="00967F42" w:rsidRPr="008C13F2" w:rsidRDefault="00967F42" w:rsidP="008C13F2">
      <w:pPr>
        <w:spacing w:line="240" w:lineRule="auto"/>
        <w:jc w:val="both"/>
        <w:rPr>
          <w:rFonts w:ascii="Times New Roman" w:hAnsi="Times New Roman" w:cs="Times New Roman"/>
          <w:sz w:val="24"/>
          <w:szCs w:val="24"/>
        </w:rPr>
      </w:pPr>
      <w:r w:rsidRPr="008C13F2">
        <w:rPr>
          <w:rFonts w:ascii="Times New Roman" w:hAnsi="Times New Roman" w:cs="Times New Roman"/>
          <w:sz w:val="24"/>
          <w:szCs w:val="24"/>
        </w:rPr>
        <w:t xml:space="preserve">Az önkormányzati adóhatóság látja el </w:t>
      </w:r>
      <w:r w:rsidR="004E6EC7">
        <w:rPr>
          <w:rFonts w:ascii="Times New Roman" w:hAnsi="Times New Roman" w:cs="Times New Roman"/>
          <w:sz w:val="24"/>
          <w:szCs w:val="24"/>
        </w:rPr>
        <w:t xml:space="preserve">a </w:t>
      </w:r>
      <w:r w:rsidRPr="008C13F2">
        <w:rPr>
          <w:rFonts w:ascii="Times New Roman" w:hAnsi="Times New Roman" w:cs="Times New Roman"/>
          <w:sz w:val="24"/>
          <w:szCs w:val="24"/>
        </w:rPr>
        <w:t xml:space="preserve">források </w:t>
      </w:r>
      <w:r w:rsidR="004E6EC7">
        <w:rPr>
          <w:rFonts w:ascii="Times New Roman" w:hAnsi="Times New Roman" w:cs="Times New Roman"/>
          <w:sz w:val="24"/>
          <w:szCs w:val="24"/>
        </w:rPr>
        <w:t xml:space="preserve">- </w:t>
      </w:r>
      <w:r w:rsidRPr="008C13F2">
        <w:rPr>
          <w:rFonts w:ascii="Times New Roman" w:hAnsi="Times New Roman" w:cs="Times New Roman"/>
          <w:sz w:val="24"/>
          <w:szCs w:val="24"/>
        </w:rPr>
        <w:t xml:space="preserve">jelentős részének </w:t>
      </w:r>
      <w:r w:rsidR="004E6EC7">
        <w:rPr>
          <w:rFonts w:ascii="Times New Roman" w:hAnsi="Times New Roman" w:cs="Times New Roman"/>
          <w:sz w:val="24"/>
          <w:szCs w:val="24"/>
        </w:rPr>
        <w:t xml:space="preserve">- </w:t>
      </w:r>
      <w:r w:rsidRPr="008C13F2">
        <w:rPr>
          <w:rFonts w:ascii="Times New Roman" w:hAnsi="Times New Roman" w:cs="Times New Roman"/>
          <w:sz w:val="24"/>
          <w:szCs w:val="24"/>
        </w:rPr>
        <w:t xml:space="preserve">beszedését, egyben más, az állam által ide delegált hatósági feladatokat is végez (gépjárművek adóztatása, adók módjára behajtandó köztartozások beszedése stb.). </w:t>
      </w:r>
      <w:proofErr w:type="gramStart"/>
      <w:r w:rsidR="00832DF8" w:rsidRPr="008C13F2">
        <w:rPr>
          <w:rFonts w:ascii="Times New Roman" w:hAnsi="Times New Roman" w:cs="Times New Roman"/>
          <w:sz w:val="24"/>
          <w:szCs w:val="24"/>
        </w:rPr>
        <w:t>A</w:t>
      </w:r>
      <w:proofErr w:type="gramEnd"/>
      <w:r w:rsidRPr="008C13F2">
        <w:rPr>
          <w:rFonts w:ascii="Times New Roman" w:hAnsi="Times New Roman" w:cs="Times New Roman"/>
          <w:sz w:val="24"/>
          <w:szCs w:val="24"/>
        </w:rPr>
        <w:t xml:space="preserve"> beszedett központi adók más-más mértékben illetik a helyi önkormányzatot. </w:t>
      </w:r>
    </w:p>
    <w:p w:rsidR="00832DF8" w:rsidRPr="008C13F2" w:rsidRDefault="00832DF8" w:rsidP="008C13F2">
      <w:pPr>
        <w:spacing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helyi adóztatás keret szabályait a helyi adókról szóló 1990. évi C. törvény, valamint az adózás rendjéről szóló 2003</w:t>
      </w:r>
      <w:r w:rsidR="004E6EC7">
        <w:rPr>
          <w:rFonts w:ascii="Times New Roman" w:eastAsia="Calibri" w:hAnsi="Times New Roman" w:cs="Times New Roman"/>
          <w:sz w:val="24"/>
          <w:szCs w:val="24"/>
        </w:rPr>
        <w:t>.</w:t>
      </w:r>
      <w:r w:rsidRPr="008C13F2">
        <w:rPr>
          <w:rFonts w:ascii="Times New Roman" w:eastAsia="Calibri" w:hAnsi="Times New Roman" w:cs="Times New Roman"/>
          <w:sz w:val="24"/>
          <w:szCs w:val="24"/>
        </w:rPr>
        <w:t xml:space="preserve"> évi XCII. törvény írja elő. A helyi önkormányzatok és szerveik, a köztársasági megbízottak, valamint egyes centrális alárendeltségű szervek feladat és hatásköreiről szóló 1991. évi XX. törvény 3</w:t>
      </w:r>
      <w:r w:rsidR="004E6EC7">
        <w:rPr>
          <w:rFonts w:ascii="Times New Roman" w:eastAsia="Calibri" w:hAnsi="Times New Roman" w:cs="Times New Roman"/>
          <w:sz w:val="24"/>
          <w:szCs w:val="24"/>
        </w:rPr>
        <w:t>.</w:t>
      </w:r>
      <w:r w:rsidRPr="008C13F2">
        <w:rPr>
          <w:rFonts w:ascii="Times New Roman" w:eastAsia="Calibri" w:hAnsi="Times New Roman" w:cs="Times New Roman"/>
          <w:sz w:val="24"/>
          <w:szCs w:val="24"/>
        </w:rPr>
        <w:t xml:space="preserve"> §</w:t>
      </w:r>
      <w:proofErr w:type="spellStart"/>
      <w:r w:rsidRPr="008C13F2">
        <w:rPr>
          <w:rFonts w:ascii="Times New Roman" w:eastAsia="Calibri" w:hAnsi="Times New Roman" w:cs="Times New Roman"/>
          <w:sz w:val="24"/>
          <w:szCs w:val="24"/>
        </w:rPr>
        <w:t>-</w:t>
      </w:r>
      <w:proofErr w:type="gramStart"/>
      <w:r w:rsidRPr="008C13F2">
        <w:rPr>
          <w:rFonts w:ascii="Times New Roman" w:eastAsia="Calibri" w:hAnsi="Times New Roman" w:cs="Times New Roman"/>
          <w:sz w:val="24"/>
          <w:szCs w:val="24"/>
        </w:rPr>
        <w:t>a</w:t>
      </w:r>
      <w:proofErr w:type="spellEnd"/>
      <w:proofErr w:type="gramEnd"/>
      <w:r w:rsidRPr="008C13F2">
        <w:rPr>
          <w:rFonts w:ascii="Times New Roman" w:eastAsia="Calibri" w:hAnsi="Times New Roman" w:cs="Times New Roman"/>
          <w:sz w:val="24"/>
          <w:szCs w:val="24"/>
        </w:rPr>
        <w:t xml:space="preserve"> alapján a helyi adóztatás szabályait a képviselőtestület határozza meg. </w:t>
      </w:r>
    </w:p>
    <w:p w:rsidR="00882B5A" w:rsidRPr="008C13F2" w:rsidRDefault="00882B5A" w:rsidP="008C13F2">
      <w:pPr>
        <w:spacing w:line="240" w:lineRule="auto"/>
        <w:jc w:val="both"/>
        <w:rPr>
          <w:rFonts w:ascii="Times New Roman" w:hAnsi="Times New Roman" w:cs="Times New Roman"/>
          <w:sz w:val="24"/>
          <w:szCs w:val="24"/>
        </w:rPr>
      </w:pPr>
      <w:r w:rsidRPr="008C13F2">
        <w:rPr>
          <w:rFonts w:ascii="Times New Roman" w:hAnsi="Times New Roman" w:cs="Times New Roman"/>
          <w:sz w:val="24"/>
          <w:szCs w:val="24"/>
        </w:rPr>
        <w:t xml:space="preserve">A helyi adókról szóló 1990. évi C. törvény felhatalmazása alapján a </w:t>
      </w:r>
      <w:r w:rsidRPr="008C13F2">
        <w:rPr>
          <w:rFonts w:ascii="Times New Roman" w:hAnsi="Times New Roman" w:cs="Times New Roman"/>
          <w:b/>
          <w:sz w:val="24"/>
          <w:szCs w:val="24"/>
        </w:rPr>
        <w:t>magánszemélyek kommunális adója</w:t>
      </w:r>
      <w:r w:rsidRPr="008C13F2">
        <w:rPr>
          <w:rFonts w:ascii="Times New Roman" w:hAnsi="Times New Roman" w:cs="Times New Roman"/>
          <w:sz w:val="24"/>
          <w:szCs w:val="24"/>
        </w:rPr>
        <w:t xml:space="preserve">, a </w:t>
      </w:r>
      <w:r w:rsidRPr="008C13F2">
        <w:rPr>
          <w:rFonts w:ascii="Times New Roman" w:hAnsi="Times New Roman" w:cs="Times New Roman"/>
          <w:b/>
          <w:sz w:val="24"/>
          <w:szCs w:val="24"/>
        </w:rPr>
        <w:t>helyi iparűzési adó</w:t>
      </w:r>
      <w:r w:rsidRPr="008C13F2">
        <w:rPr>
          <w:rFonts w:ascii="Times New Roman" w:hAnsi="Times New Roman" w:cs="Times New Roman"/>
          <w:sz w:val="24"/>
          <w:szCs w:val="24"/>
        </w:rPr>
        <w:t xml:space="preserve"> és az </w:t>
      </w:r>
      <w:r w:rsidRPr="008C13F2">
        <w:rPr>
          <w:rFonts w:ascii="Times New Roman" w:hAnsi="Times New Roman" w:cs="Times New Roman"/>
          <w:b/>
          <w:sz w:val="24"/>
          <w:szCs w:val="24"/>
        </w:rPr>
        <w:t>idegenforgalmi adó</w:t>
      </w:r>
      <w:r w:rsidRPr="008C13F2">
        <w:rPr>
          <w:rFonts w:ascii="Times New Roman" w:hAnsi="Times New Roman" w:cs="Times New Roman"/>
          <w:sz w:val="24"/>
          <w:szCs w:val="24"/>
        </w:rPr>
        <w:t xml:space="preserve"> képezi aktuálisan </w:t>
      </w:r>
      <w:r w:rsidR="008A1501" w:rsidRPr="008C13F2">
        <w:rPr>
          <w:rFonts w:ascii="Times New Roman" w:hAnsi="Times New Roman" w:cs="Times New Roman"/>
          <w:sz w:val="24"/>
          <w:szCs w:val="24"/>
        </w:rPr>
        <w:t xml:space="preserve">a bevezetett </w:t>
      </w:r>
      <w:r w:rsidRPr="008C13F2">
        <w:rPr>
          <w:rFonts w:ascii="Times New Roman" w:hAnsi="Times New Roman" w:cs="Times New Roman"/>
          <w:sz w:val="24"/>
          <w:szCs w:val="24"/>
        </w:rPr>
        <w:t>adó</w:t>
      </w:r>
      <w:r w:rsidR="008A1501" w:rsidRPr="008C13F2">
        <w:rPr>
          <w:rFonts w:ascii="Times New Roman" w:hAnsi="Times New Roman" w:cs="Times New Roman"/>
          <w:sz w:val="24"/>
          <w:szCs w:val="24"/>
        </w:rPr>
        <w:t>tét</w:t>
      </w:r>
      <w:r w:rsidRPr="008C13F2">
        <w:rPr>
          <w:rFonts w:ascii="Times New Roman" w:hAnsi="Times New Roman" w:cs="Times New Roman"/>
          <w:sz w:val="24"/>
          <w:szCs w:val="24"/>
        </w:rPr>
        <w:t xml:space="preserve">eleket. </w:t>
      </w:r>
    </w:p>
    <w:p w:rsidR="00E2475A" w:rsidRPr="008C13F2" w:rsidRDefault="00E2475A" w:rsidP="008C13F2">
      <w:pPr>
        <w:pStyle w:val="NormlWeb"/>
        <w:shd w:val="clear" w:color="auto" w:fill="FFFFFF"/>
        <w:spacing w:before="168" w:beforeAutospacing="0" w:after="168" w:afterAutospacing="0"/>
        <w:jc w:val="both"/>
        <w:textAlignment w:val="baseline"/>
        <w:rPr>
          <w:color w:val="111111"/>
        </w:rPr>
      </w:pPr>
      <w:r w:rsidRPr="008C13F2">
        <w:rPr>
          <w:color w:val="111111"/>
        </w:rPr>
        <w:t xml:space="preserve">2015. január 1-től a helyi adókról szóló törvény felhatalmazása és rendelkezései szerint a települési (községi, városi, fővárosi és kerületi) önkormányzat képviselőtestülete (önkormányzat) rendelettel az illetékességi területén helyi adókat, valamint települési adókat vezethet be. Az önkormányzat az illetékességi területén rendelettel olyan települési adót, települési adókat vezethet be, </w:t>
      </w:r>
      <w:r w:rsidR="00AB0D0F" w:rsidRPr="008C13F2">
        <w:rPr>
          <w:color w:val="111111"/>
        </w:rPr>
        <w:t>amelyet,</w:t>
      </w:r>
      <w:r w:rsidRPr="008C13F2">
        <w:rPr>
          <w:color w:val="111111"/>
        </w:rPr>
        <w:t xml:space="preserve"> vagy</w:t>
      </w:r>
      <w:r w:rsidR="00AB0D0F" w:rsidRPr="008C13F2">
        <w:rPr>
          <w:color w:val="111111"/>
        </w:rPr>
        <w:t xml:space="preserve"> amelyeket más törvény nem tilt</w:t>
      </w:r>
      <w:r w:rsidRPr="008C13F2">
        <w:rPr>
          <w:color w:val="111111"/>
        </w:rPr>
        <w:t>. Az önkormányzat települési adót bármely adótárgyra megállapíthat, feltéve, hogy</w:t>
      </w:r>
    </w:p>
    <w:p w:rsidR="00E2475A" w:rsidRPr="008C13F2" w:rsidRDefault="00E2475A" w:rsidP="008C13F2">
      <w:pPr>
        <w:pStyle w:val="NormlWeb"/>
        <w:numPr>
          <w:ilvl w:val="0"/>
          <w:numId w:val="3"/>
        </w:numPr>
        <w:shd w:val="clear" w:color="auto" w:fill="FFFFFF"/>
        <w:spacing w:before="168" w:beforeAutospacing="0" w:after="168" w:afterAutospacing="0"/>
        <w:jc w:val="both"/>
        <w:textAlignment w:val="baseline"/>
        <w:rPr>
          <w:color w:val="111111"/>
        </w:rPr>
      </w:pPr>
      <w:r w:rsidRPr="008C13F2">
        <w:rPr>
          <w:color w:val="111111"/>
        </w:rPr>
        <w:lastRenderedPageBreak/>
        <w:t>azt nem terheli törvényben szabályozott közteher,</w:t>
      </w:r>
    </w:p>
    <w:p w:rsidR="00E2475A" w:rsidRPr="008C13F2" w:rsidRDefault="00E2475A" w:rsidP="008C13F2">
      <w:pPr>
        <w:pStyle w:val="NormlWeb"/>
        <w:numPr>
          <w:ilvl w:val="0"/>
          <w:numId w:val="3"/>
        </w:numPr>
        <w:shd w:val="clear" w:color="auto" w:fill="FFFFFF"/>
        <w:spacing w:before="168" w:beforeAutospacing="0" w:after="168" w:afterAutospacing="0"/>
        <w:jc w:val="both"/>
        <w:textAlignment w:val="baseline"/>
        <w:rPr>
          <w:color w:val="111111"/>
        </w:rPr>
      </w:pPr>
      <w:r w:rsidRPr="008C13F2">
        <w:rPr>
          <w:color w:val="111111"/>
        </w:rPr>
        <w:t>és a települési adónak nem lehet alanya szervezet, továbbá vállalkozó [</w:t>
      </w:r>
      <w:proofErr w:type="spellStart"/>
      <w:r w:rsidRPr="008C13F2">
        <w:rPr>
          <w:color w:val="111111"/>
        </w:rPr>
        <w:t>Htv</w:t>
      </w:r>
      <w:proofErr w:type="spellEnd"/>
      <w:r w:rsidRPr="008C13F2">
        <w:rPr>
          <w:color w:val="111111"/>
        </w:rPr>
        <w:t>. 52. § 26. pont].</w:t>
      </w:r>
    </w:p>
    <w:p w:rsidR="00AB0D0F" w:rsidRPr="008C13F2" w:rsidRDefault="00AB0D0F" w:rsidP="008C13F2">
      <w:pPr>
        <w:spacing w:after="0" w:line="240" w:lineRule="auto"/>
        <w:jc w:val="both"/>
        <w:rPr>
          <w:rFonts w:ascii="Times New Roman" w:hAnsi="Times New Roman" w:cs="Times New Roman"/>
          <w:sz w:val="24"/>
          <w:szCs w:val="24"/>
        </w:rPr>
      </w:pPr>
      <w:r w:rsidRPr="008C13F2">
        <w:rPr>
          <w:rFonts w:ascii="Times New Roman" w:hAnsi="Times New Roman" w:cs="Times New Roman"/>
          <w:color w:val="111111"/>
          <w:sz w:val="24"/>
          <w:szCs w:val="24"/>
          <w:shd w:val="clear" w:color="auto" w:fill="FFFFFF"/>
        </w:rPr>
        <w:t>A települési adóval kapcsolatos eljárási kérdésekben az adózás rendjéről szóló törvény rendelkezéseit kell alkalmazni. A települési adóból származó bevétel az azt megállapító önkormányzat bevétele.</w:t>
      </w:r>
    </w:p>
    <w:p w:rsidR="00882B5A" w:rsidRPr="008C13F2" w:rsidRDefault="00882B5A" w:rsidP="008C13F2">
      <w:pPr>
        <w:spacing w:line="240" w:lineRule="auto"/>
        <w:jc w:val="both"/>
        <w:rPr>
          <w:rFonts w:ascii="Times New Roman" w:hAnsi="Times New Roman" w:cs="Times New Roman"/>
          <w:sz w:val="24"/>
          <w:szCs w:val="24"/>
        </w:rPr>
      </w:pPr>
      <w:r w:rsidRPr="008C13F2">
        <w:rPr>
          <w:rFonts w:ascii="Times New Roman" w:hAnsi="Times New Roman" w:cs="Times New Roman"/>
          <w:sz w:val="24"/>
          <w:szCs w:val="24"/>
        </w:rPr>
        <w:t xml:space="preserve">A fentiek mellett az átengedett központi adók körébe tartozó </w:t>
      </w:r>
      <w:r w:rsidRPr="008C13F2">
        <w:rPr>
          <w:rFonts w:ascii="Times New Roman" w:hAnsi="Times New Roman" w:cs="Times New Roman"/>
          <w:b/>
          <w:sz w:val="24"/>
          <w:szCs w:val="24"/>
        </w:rPr>
        <w:t>gépjárműadó</w:t>
      </w:r>
      <w:r w:rsidRPr="008C13F2">
        <w:rPr>
          <w:rFonts w:ascii="Times New Roman" w:hAnsi="Times New Roman" w:cs="Times New Roman"/>
          <w:sz w:val="24"/>
          <w:szCs w:val="24"/>
        </w:rPr>
        <w:t xml:space="preserve">, a </w:t>
      </w:r>
      <w:r w:rsidRPr="008C13F2">
        <w:rPr>
          <w:rFonts w:ascii="Times New Roman" w:hAnsi="Times New Roman" w:cs="Times New Roman"/>
          <w:b/>
          <w:sz w:val="24"/>
          <w:szCs w:val="24"/>
        </w:rPr>
        <w:t>talajterhelési díj</w:t>
      </w:r>
      <w:r w:rsidRPr="008C13F2">
        <w:rPr>
          <w:rFonts w:ascii="Times New Roman" w:hAnsi="Times New Roman" w:cs="Times New Roman"/>
          <w:sz w:val="24"/>
          <w:szCs w:val="24"/>
        </w:rPr>
        <w:t xml:space="preserve">, a </w:t>
      </w:r>
      <w:r w:rsidRPr="008C13F2">
        <w:rPr>
          <w:rFonts w:ascii="Times New Roman" w:hAnsi="Times New Roman" w:cs="Times New Roman"/>
          <w:b/>
          <w:sz w:val="24"/>
          <w:szCs w:val="24"/>
        </w:rPr>
        <w:t>termőföld bérbeadásából származó jövedelemadó</w:t>
      </w:r>
      <w:r w:rsidRPr="008C13F2">
        <w:rPr>
          <w:rFonts w:ascii="Times New Roman" w:hAnsi="Times New Roman" w:cs="Times New Roman"/>
          <w:sz w:val="24"/>
          <w:szCs w:val="24"/>
        </w:rPr>
        <w:t xml:space="preserve">, valamint a </w:t>
      </w:r>
      <w:r w:rsidRPr="008C13F2">
        <w:rPr>
          <w:rFonts w:ascii="Times New Roman" w:hAnsi="Times New Roman" w:cs="Times New Roman"/>
          <w:b/>
          <w:sz w:val="24"/>
          <w:szCs w:val="24"/>
        </w:rPr>
        <w:t>szabálysértési bírság</w:t>
      </w:r>
      <w:r w:rsidRPr="008C13F2">
        <w:rPr>
          <w:rFonts w:ascii="Times New Roman" w:hAnsi="Times New Roman" w:cs="Times New Roman"/>
          <w:sz w:val="24"/>
          <w:szCs w:val="24"/>
        </w:rPr>
        <w:t xml:space="preserve"> és az egyes </w:t>
      </w:r>
      <w:r w:rsidRPr="008C13F2">
        <w:rPr>
          <w:rFonts w:ascii="Times New Roman" w:hAnsi="Times New Roman" w:cs="Times New Roman"/>
          <w:b/>
          <w:sz w:val="24"/>
          <w:szCs w:val="24"/>
        </w:rPr>
        <w:t>közigazgatási bírságok</w:t>
      </w:r>
      <w:r w:rsidRPr="008C13F2">
        <w:rPr>
          <w:rFonts w:ascii="Times New Roman" w:hAnsi="Times New Roman" w:cs="Times New Roman"/>
          <w:sz w:val="24"/>
          <w:szCs w:val="24"/>
        </w:rPr>
        <w:t xml:space="preserve"> beszedése </w:t>
      </w:r>
      <w:r w:rsidR="008A1501" w:rsidRPr="008C13F2">
        <w:rPr>
          <w:rFonts w:ascii="Times New Roman" w:hAnsi="Times New Roman" w:cs="Times New Roman"/>
          <w:sz w:val="24"/>
          <w:szCs w:val="24"/>
        </w:rPr>
        <w:t xml:space="preserve">tartozik </w:t>
      </w:r>
      <w:r w:rsidRPr="008C13F2">
        <w:rPr>
          <w:rFonts w:ascii="Times New Roman" w:hAnsi="Times New Roman" w:cs="Times New Roman"/>
          <w:sz w:val="24"/>
          <w:szCs w:val="24"/>
        </w:rPr>
        <w:t>a helyi adóigazga</w:t>
      </w:r>
      <w:r w:rsidR="008A1501" w:rsidRPr="008C13F2">
        <w:rPr>
          <w:rFonts w:ascii="Times New Roman" w:hAnsi="Times New Roman" w:cs="Times New Roman"/>
          <w:sz w:val="24"/>
          <w:szCs w:val="24"/>
        </w:rPr>
        <w:t>tási feladatellátás keretei közé</w:t>
      </w:r>
      <w:r w:rsidRPr="008C13F2">
        <w:rPr>
          <w:rFonts w:ascii="Times New Roman" w:hAnsi="Times New Roman" w:cs="Times New Roman"/>
          <w:sz w:val="24"/>
          <w:szCs w:val="24"/>
        </w:rPr>
        <w:t>.</w:t>
      </w:r>
    </w:p>
    <w:p w:rsidR="009C5BE4" w:rsidRPr="008C13F2" w:rsidRDefault="00882B5A" w:rsidP="008C13F2">
      <w:pPr>
        <w:spacing w:line="240" w:lineRule="auto"/>
        <w:jc w:val="both"/>
        <w:rPr>
          <w:rFonts w:ascii="Times New Roman" w:hAnsi="Times New Roman" w:cs="Times New Roman"/>
          <w:sz w:val="24"/>
          <w:szCs w:val="24"/>
        </w:rPr>
      </w:pPr>
      <w:r w:rsidRPr="008C13F2">
        <w:rPr>
          <w:rFonts w:ascii="Times New Roman" w:hAnsi="Times New Roman" w:cs="Times New Roman"/>
          <w:sz w:val="24"/>
          <w:szCs w:val="24"/>
        </w:rPr>
        <w:t xml:space="preserve">A jelen beszámoló tárgyát képező 2014. és 2015. </w:t>
      </w:r>
      <w:r w:rsidR="00893B13">
        <w:rPr>
          <w:rFonts w:ascii="Times New Roman" w:hAnsi="Times New Roman" w:cs="Times New Roman"/>
          <w:sz w:val="24"/>
          <w:szCs w:val="24"/>
        </w:rPr>
        <w:t xml:space="preserve">években a helyi adókra vonatkozó szabályokat Bonyhád Város Önkormányzati Képviselő-testülete 30/2013. (XII. 20.) rendelete tartalmazta, amely rendeletet </w:t>
      </w:r>
      <w:r w:rsidR="000829C2">
        <w:rPr>
          <w:rFonts w:ascii="Times New Roman" w:hAnsi="Times New Roman" w:cs="Times New Roman"/>
          <w:sz w:val="24"/>
          <w:szCs w:val="24"/>
        </w:rPr>
        <w:t xml:space="preserve">a Képviselő-testület 2015. december 31-i időponttal hatályon kívül helyezett. A helyi adókra vonatkozó új szabályozást a Képviselő-testület a 21/2015. (XI. 27.) rendeletével alkotta meg, amely rendelkezések 2016. január 1-jétől léptek hatályba. </w:t>
      </w:r>
    </w:p>
    <w:p w:rsidR="008F3EA3" w:rsidRPr="008C13F2" w:rsidRDefault="008F3EA3" w:rsidP="008C13F2">
      <w:pPr>
        <w:spacing w:before="100" w:beforeAutospacing="1" w:after="100" w:afterAutospacing="1" w:line="240" w:lineRule="auto"/>
        <w:jc w:val="both"/>
        <w:outlineLvl w:val="1"/>
        <w:rPr>
          <w:rFonts w:ascii="Times New Roman" w:hAnsi="Times New Roman" w:cs="Times New Roman"/>
          <w:bCs/>
          <w:sz w:val="24"/>
          <w:szCs w:val="24"/>
        </w:rPr>
      </w:pPr>
      <w:r w:rsidRPr="008C13F2">
        <w:rPr>
          <w:rFonts w:ascii="Times New Roman" w:hAnsi="Times New Roman" w:cs="Times New Roman"/>
          <w:bCs/>
          <w:sz w:val="24"/>
          <w:szCs w:val="24"/>
        </w:rPr>
        <w:t xml:space="preserve">Az önkormányzati adóhatóság által beszedett adóbevételek a költségvetés előirányzataihoz viszonyítva 2014. évben </w:t>
      </w:r>
      <w:r w:rsidR="00172C41" w:rsidRPr="00172C41">
        <w:rPr>
          <w:rFonts w:ascii="Times New Roman" w:hAnsi="Times New Roman" w:cs="Times New Roman"/>
          <w:bCs/>
          <w:sz w:val="24"/>
          <w:szCs w:val="24"/>
        </w:rPr>
        <w:t>15,</w:t>
      </w:r>
      <w:r w:rsidR="00172C41">
        <w:rPr>
          <w:rFonts w:ascii="Times New Roman" w:hAnsi="Times New Roman" w:cs="Times New Roman"/>
          <w:bCs/>
          <w:sz w:val="24"/>
          <w:szCs w:val="24"/>
        </w:rPr>
        <w:t xml:space="preserve">5 %, </w:t>
      </w:r>
      <w:r w:rsidRPr="008C13F2">
        <w:rPr>
          <w:rFonts w:ascii="Times New Roman" w:hAnsi="Times New Roman" w:cs="Times New Roman"/>
          <w:bCs/>
          <w:sz w:val="24"/>
          <w:szCs w:val="24"/>
        </w:rPr>
        <w:t xml:space="preserve">2015. évben </w:t>
      </w:r>
      <w:r w:rsidR="00172C41">
        <w:rPr>
          <w:rFonts w:ascii="Times New Roman" w:hAnsi="Times New Roman" w:cs="Times New Roman"/>
          <w:bCs/>
          <w:sz w:val="24"/>
          <w:szCs w:val="24"/>
        </w:rPr>
        <w:t>még az összbevétel nem áll rendelkezésre, emiatt a mutató nem számítható</w:t>
      </w:r>
      <w:r w:rsidRPr="008C13F2">
        <w:rPr>
          <w:rFonts w:ascii="Times New Roman" w:hAnsi="Times New Roman" w:cs="Times New Roman"/>
          <w:bCs/>
          <w:sz w:val="24"/>
          <w:szCs w:val="24"/>
        </w:rPr>
        <w:t>.</w:t>
      </w:r>
    </w:p>
    <w:p w:rsidR="008F3EA3" w:rsidRPr="008C13F2" w:rsidRDefault="008F3EA3" w:rsidP="008C13F2">
      <w:pPr>
        <w:spacing w:before="100" w:beforeAutospacing="1" w:after="100" w:afterAutospacing="1" w:line="240" w:lineRule="auto"/>
        <w:jc w:val="both"/>
        <w:outlineLvl w:val="1"/>
        <w:rPr>
          <w:rFonts w:ascii="Times New Roman" w:hAnsi="Times New Roman" w:cs="Times New Roman"/>
          <w:bCs/>
          <w:sz w:val="24"/>
          <w:szCs w:val="24"/>
        </w:rPr>
      </w:pPr>
      <w:r w:rsidRPr="008C13F2">
        <w:rPr>
          <w:rFonts w:ascii="Times New Roman" w:hAnsi="Times New Roman" w:cs="Times New Roman"/>
          <w:bCs/>
          <w:sz w:val="24"/>
          <w:szCs w:val="24"/>
        </w:rPr>
        <w:t>A beszámolási időszakban realizált, különböző jogcímű bevételeket az előterjesztéshez csatolt melléklet tartalmazza. A tervezett és tényleges bevételek az alábbiak szerint alakultak:</w:t>
      </w:r>
    </w:p>
    <w:p w:rsidR="009718D5" w:rsidRPr="008C13F2" w:rsidRDefault="001E5C7A" w:rsidP="008C13F2">
      <w:pPr>
        <w:spacing w:line="240" w:lineRule="auto"/>
        <w:jc w:val="both"/>
        <w:rPr>
          <w:rFonts w:ascii="Times New Roman" w:hAnsi="Times New Roman" w:cs="Times New Roman"/>
          <w:sz w:val="24"/>
          <w:szCs w:val="24"/>
        </w:rPr>
      </w:pPr>
      <w:r w:rsidRPr="008C13F2">
        <w:rPr>
          <w:rFonts w:ascii="Times New Roman" w:hAnsi="Times New Roman" w:cs="Times New Roman"/>
          <w:noProof/>
          <w:sz w:val="24"/>
          <w:szCs w:val="24"/>
          <w:lang w:eastAsia="hu-HU"/>
        </w:rPr>
        <w:drawing>
          <wp:inline distT="0" distB="0" distL="0" distR="0">
            <wp:extent cx="5724525" cy="2743200"/>
            <wp:effectExtent l="19050" t="0" r="9525"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18D5" w:rsidRPr="008C13F2" w:rsidRDefault="009718D5" w:rsidP="00172C41">
      <w:pPr>
        <w:spacing w:after="0" w:line="240" w:lineRule="auto"/>
        <w:jc w:val="both"/>
        <w:outlineLvl w:val="1"/>
        <w:rPr>
          <w:rFonts w:ascii="Times New Roman" w:hAnsi="Times New Roman" w:cs="Times New Roman"/>
          <w:bCs/>
          <w:sz w:val="24"/>
          <w:szCs w:val="24"/>
        </w:rPr>
      </w:pPr>
      <w:r w:rsidRPr="008C13F2">
        <w:rPr>
          <w:rFonts w:ascii="Times New Roman" w:hAnsi="Times New Roman" w:cs="Times New Roman"/>
          <w:bCs/>
          <w:sz w:val="24"/>
          <w:szCs w:val="24"/>
        </w:rPr>
        <w:t xml:space="preserve">A bevételi terv és tényadatok évenként változó nagyságrendet képviseltek. A különböző jogcímű bevételek közül az iparűzési adó nem tervezhető pontosan, összege a vállalkozók adott évi teljesítményével áll összefüggésben. </w:t>
      </w:r>
    </w:p>
    <w:p w:rsidR="009718D5" w:rsidRPr="008C13F2" w:rsidRDefault="009718D5" w:rsidP="00172C41">
      <w:pPr>
        <w:spacing w:after="0" w:line="240" w:lineRule="auto"/>
        <w:jc w:val="both"/>
        <w:outlineLvl w:val="1"/>
        <w:rPr>
          <w:rFonts w:ascii="Times New Roman" w:hAnsi="Times New Roman" w:cs="Times New Roman"/>
          <w:bCs/>
          <w:sz w:val="24"/>
          <w:szCs w:val="24"/>
        </w:rPr>
      </w:pPr>
      <w:r w:rsidRPr="008C13F2">
        <w:rPr>
          <w:rFonts w:ascii="Times New Roman" w:hAnsi="Times New Roman" w:cs="Times New Roman"/>
          <w:bCs/>
          <w:sz w:val="24"/>
          <w:szCs w:val="24"/>
        </w:rPr>
        <w:t>Az egyes adónemekre vonatkozó adatokat az előterjesztés további részében részletesen ismertetjük.</w:t>
      </w:r>
    </w:p>
    <w:p w:rsidR="009718D5" w:rsidRPr="008C13F2" w:rsidRDefault="009718D5" w:rsidP="00172C41">
      <w:pPr>
        <w:spacing w:after="0" w:line="240" w:lineRule="auto"/>
        <w:jc w:val="both"/>
        <w:outlineLvl w:val="1"/>
        <w:rPr>
          <w:rFonts w:ascii="Times New Roman" w:hAnsi="Times New Roman" w:cs="Times New Roman"/>
          <w:bCs/>
          <w:sz w:val="24"/>
          <w:szCs w:val="24"/>
        </w:rPr>
      </w:pPr>
    </w:p>
    <w:p w:rsidR="009718D5" w:rsidRPr="008C13F2" w:rsidRDefault="009718D5" w:rsidP="00172C41">
      <w:pPr>
        <w:spacing w:after="0" w:line="240" w:lineRule="auto"/>
        <w:jc w:val="both"/>
        <w:outlineLvl w:val="1"/>
        <w:rPr>
          <w:rFonts w:ascii="Times New Roman" w:hAnsi="Times New Roman" w:cs="Times New Roman"/>
          <w:bCs/>
          <w:sz w:val="24"/>
          <w:szCs w:val="24"/>
        </w:rPr>
      </w:pPr>
      <w:r w:rsidRPr="008C13F2">
        <w:rPr>
          <w:rFonts w:ascii="Times New Roman" w:hAnsi="Times New Roman" w:cs="Times New Roman"/>
          <w:bCs/>
          <w:sz w:val="24"/>
          <w:szCs w:val="24"/>
        </w:rPr>
        <w:t xml:space="preserve">Az adóigazgatási feladatokat a Hivatal Pénzügyi Osztályának részét képező adócsoport látja el. A csoport létszáma jelenleg 6 fő, amelyek közül 2 fő felsőfokú, 4 fő középfokú végzettségű. A kollégák közül 1 fő a 8 közös hivatalhoz csatlakozott önkormányzat </w:t>
      </w:r>
      <w:r w:rsidRPr="008C13F2">
        <w:rPr>
          <w:rFonts w:ascii="Times New Roman" w:hAnsi="Times New Roman" w:cs="Times New Roman"/>
          <w:bCs/>
          <w:sz w:val="24"/>
          <w:szCs w:val="24"/>
        </w:rPr>
        <w:lastRenderedPageBreak/>
        <w:t xml:space="preserve">adóigazgatási feladatait látja el.  A dolgozók megfelelő tapasztalattal, felkészültséggel, szükséges végzettséggel, valamint a köztisztviselői alap és szakvizsgával rendelkeznek. A munkavégzés tárgyi feltételei is biztosítottak. </w:t>
      </w:r>
    </w:p>
    <w:p w:rsidR="009718D5" w:rsidRPr="008C13F2" w:rsidRDefault="009718D5" w:rsidP="00172C41">
      <w:pPr>
        <w:spacing w:after="0" w:line="240" w:lineRule="auto"/>
        <w:jc w:val="both"/>
        <w:outlineLvl w:val="1"/>
        <w:rPr>
          <w:rFonts w:ascii="Times New Roman" w:hAnsi="Times New Roman" w:cs="Times New Roman"/>
          <w:bCs/>
          <w:sz w:val="24"/>
          <w:szCs w:val="24"/>
        </w:rPr>
      </w:pPr>
      <w:r w:rsidRPr="008C13F2">
        <w:rPr>
          <w:rFonts w:ascii="Times New Roman" w:hAnsi="Times New Roman" w:cs="Times New Roman"/>
          <w:bCs/>
          <w:sz w:val="24"/>
          <w:szCs w:val="24"/>
        </w:rPr>
        <w:t xml:space="preserve">Az adónyilvántartások vezetése már hosszú évek óta a Magyar Államkincstár által térítésmentesen biztosított, országosan is használt szoftver segítségével történik. Beszámolónkat e rendszer adatbázisából állítottuk össze, megjegyezzük azonban azt, hogy fentieken túl további adatok előállítására nincs lehetőség. Egyéb információ igény esetén kézi gyűjtéssel van mód a szükséges adatok előállítására. A program módosítása ismereteink szerint folyamatban van. </w:t>
      </w:r>
    </w:p>
    <w:p w:rsidR="009718D5" w:rsidRPr="008C13F2" w:rsidRDefault="009718D5" w:rsidP="00172C41">
      <w:pPr>
        <w:spacing w:before="100" w:beforeAutospacing="1" w:after="0" w:line="240" w:lineRule="auto"/>
        <w:jc w:val="both"/>
        <w:outlineLvl w:val="1"/>
        <w:rPr>
          <w:rFonts w:ascii="Times New Roman" w:hAnsi="Times New Roman" w:cs="Times New Roman"/>
          <w:bCs/>
          <w:sz w:val="24"/>
          <w:szCs w:val="24"/>
        </w:rPr>
      </w:pPr>
      <w:r w:rsidRPr="008C13F2">
        <w:rPr>
          <w:rFonts w:ascii="Times New Roman" w:hAnsi="Times New Roman" w:cs="Times New Roman"/>
          <w:bCs/>
          <w:sz w:val="24"/>
          <w:szCs w:val="24"/>
        </w:rPr>
        <w:t xml:space="preserve">Ügyfeleink tájékozódását segíti a Magyar Államkincstár honlapján elérhető, általa üzemeltetett rendszer, amelyen valamennyi település helyi adóira vonatkozó szabályozás megtalálható. </w:t>
      </w:r>
    </w:p>
    <w:p w:rsidR="009718D5" w:rsidRPr="008C13F2" w:rsidRDefault="009718D5" w:rsidP="00172C41">
      <w:pPr>
        <w:spacing w:before="100" w:beforeAutospacing="1" w:after="0" w:line="240" w:lineRule="auto"/>
        <w:jc w:val="both"/>
        <w:outlineLvl w:val="1"/>
        <w:rPr>
          <w:rFonts w:ascii="Times New Roman" w:hAnsi="Times New Roman" w:cs="Times New Roman"/>
          <w:bCs/>
          <w:sz w:val="24"/>
          <w:szCs w:val="24"/>
        </w:rPr>
      </w:pPr>
      <w:r w:rsidRPr="008C13F2">
        <w:rPr>
          <w:rFonts w:ascii="Times New Roman" w:hAnsi="Times New Roman" w:cs="Times New Roman"/>
          <w:bCs/>
          <w:sz w:val="24"/>
          <w:szCs w:val="24"/>
        </w:rPr>
        <w:t xml:space="preserve">Fentiek mellett a város honlapján a helyi adókhoz tartozó előterjesztések, döntések, ügyleírások, valamint rendeletek is megtalálhatók. </w:t>
      </w:r>
    </w:p>
    <w:p w:rsidR="009718D5" w:rsidRPr="008C13F2" w:rsidRDefault="009718D5" w:rsidP="00172C41">
      <w:pPr>
        <w:spacing w:before="100" w:beforeAutospacing="1" w:after="0" w:line="240" w:lineRule="auto"/>
        <w:jc w:val="both"/>
        <w:outlineLvl w:val="1"/>
        <w:rPr>
          <w:rFonts w:ascii="Times New Roman" w:hAnsi="Times New Roman" w:cs="Times New Roman"/>
          <w:sz w:val="24"/>
          <w:szCs w:val="24"/>
        </w:rPr>
      </w:pPr>
      <w:r w:rsidRPr="008C13F2">
        <w:rPr>
          <w:rFonts w:ascii="Times New Roman" w:hAnsi="Times New Roman" w:cs="Times New Roman"/>
          <w:bCs/>
          <w:sz w:val="24"/>
          <w:szCs w:val="24"/>
        </w:rPr>
        <w:t xml:space="preserve">Az adóigazgatásban alkalmazott nyomtatványok (bevallások, bejelentések) szintén a honlapon elérhetők. </w:t>
      </w:r>
    </w:p>
    <w:p w:rsidR="00C3366D" w:rsidRDefault="00C3366D" w:rsidP="00172C41">
      <w:pPr>
        <w:spacing w:after="0" w:line="240" w:lineRule="auto"/>
        <w:jc w:val="both"/>
        <w:rPr>
          <w:rFonts w:ascii="Times New Roman" w:eastAsia="Calibri" w:hAnsi="Times New Roman" w:cs="Times New Roman"/>
          <w:b/>
          <w:sz w:val="24"/>
          <w:szCs w:val="24"/>
          <w:u w:val="single"/>
        </w:rPr>
      </w:pPr>
    </w:p>
    <w:p w:rsidR="00C3366D" w:rsidRPr="00C3366D" w:rsidRDefault="00C3366D" w:rsidP="00172C41">
      <w:pPr>
        <w:spacing w:after="0" w:line="240" w:lineRule="auto"/>
        <w:jc w:val="both"/>
        <w:rPr>
          <w:rFonts w:ascii="Times New Roman" w:eastAsia="Calibri" w:hAnsi="Times New Roman" w:cs="Times New Roman"/>
          <w:b/>
          <w:sz w:val="28"/>
          <w:szCs w:val="28"/>
        </w:rPr>
      </w:pPr>
      <w:r w:rsidRPr="00C3366D">
        <w:rPr>
          <w:rFonts w:ascii="Times New Roman" w:eastAsia="Calibri" w:hAnsi="Times New Roman" w:cs="Times New Roman"/>
          <w:b/>
          <w:sz w:val="28"/>
          <w:szCs w:val="28"/>
        </w:rPr>
        <w:t>II. Az egyes adónemek</w:t>
      </w:r>
    </w:p>
    <w:p w:rsidR="00C3366D" w:rsidRDefault="00C3366D" w:rsidP="00172C41">
      <w:pPr>
        <w:spacing w:after="0" w:line="240" w:lineRule="auto"/>
        <w:jc w:val="both"/>
        <w:rPr>
          <w:rFonts w:ascii="Times New Roman" w:eastAsia="Calibri" w:hAnsi="Times New Roman" w:cs="Times New Roman"/>
          <w:b/>
          <w:sz w:val="24"/>
          <w:szCs w:val="24"/>
          <w:u w:val="single"/>
        </w:rPr>
      </w:pPr>
    </w:p>
    <w:p w:rsidR="008C13F2" w:rsidRPr="00C3366D" w:rsidRDefault="008C13F2" w:rsidP="00C3366D">
      <w:pPr>
        <w:pStyle w:val="Listaszerbekezds"/>
        <w:numPr>
          <w:ilvl w:val="0"/>
          <w:numId w:val="5"/>
        </w:numPr>
        <w:spacing w:after="0" w:line="240" w:lineRule="auto"/>
        <w:jc w:val="both"/>
        <w:rPr>
          <w:rFonts w:ascii="Times New Roman" w:eastAsia="Calibri" w:hAnsi="Times New Roman" w:cs="Times New Roman"/>
          <w:b/>
          <w:sz w:val="24"/>
          <w:szCs w:val="24"/>
          <w:u w:val="single"/>
        </w:rPr>
      </w:pPr>
      <w:r w:rsidRPr="00C3366D">
        <w:rPr>
          <w:rFonts w:ascii="Times New Roman" w:eastAsia="Calibri" w:hAnsi="Times New Roman" w:cs="Times New Roman"/>
          <w:b/>
          <w:sz w:val="24"/>
          <w:szCs w:val="24"/>
          <w:u w:val="single"/>
        </w:rPr>
        <w:t>Magánszemélyek kommunális adója</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Kommunális adófizetési kötelezettség terheli az önkormányzat illetékességi területén magánszemély tulajdonában lévő lakást és a nem lakás céljára szolgáló épületet, épületrészt, valamint az önkormányzat illetékességi területén lévő telek.</w:t>
      </w:r>
    </w:p>
    <w:p w:rsidR="008C13F2" w:rsidRPr="008C13F2" w:rsidRDefault="008C13F2" w:rsidP="00172C41">
      <w:pPr>
        <w:spacing w:after="0" w:line="240" w:lineRule="auto"/>
        <w:jc w:val="both"/>
        <w:rPr>
          <w:rFonts w:ascii="Times New Roman" w:eastAsia="Calibri" w:hAnsi="Times New Roman" w:cs="Times New Roman"/>
          <w:sz w:val="24"/>
          <w:szCs w:val="24"/>
        </w:rPr>
      </w:pPr>
      <w:proofErr w:type="gramStart"/>
      <w:r w:rsidRPr="008C13F2">
        <w:rPr>
          <w:rFonts w:ascii="Times New Roman" w:eastAsia="Calibri" w:hAnsi="Times New Roman" w:cs="Times New Roman"/>
          <w:sz w:val="24"/>
          <w:szCs w:val="24"/>
        </w:rPr>
        <w:t>Mentes</w:t>
      </w:r>
      <w:proofErr w:type="gramEnd"/>
      <w:r w:rsidRPr="008C13F2">
        <w:rPr>
          <w:rFonts w:ascii="Times New Roman" w:eastAsia="Calibri" w:hAnsi="Times New Roman" w:cs="Times New Roman"/>
          <w:sz w:val="24"/>
          <w:szCs w:val="24"/>
        </w:rPr>
        <w:t xml:space="preserve"> a fentiek közül a garázs, gépjárműtároló, melléképület, melléképületrész, továbbá a telkek közül mind, ami nem belterületi építési telek.</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Az adó mértéke lakás és egyéb nem lakás céljára szolgáló épület esetében (kivéve pince, présház) 10.000,</w:t>
      </w:r>
      <w:proofErr w:type="spellStart"/>
      <w:r w:rsidRPr="008C13F2">
        <w:rPr>
          <w:rFonts w:ascii="Times New Roman" w:eastAsia="Calibri" w:hAnsi="Times New Roman" w:cs="Times New Roman"/>
          <w:sz w:val="24"/>
          <w:szCs w:val="24"/>
        </w:rPr>
        <w:t>-Ft</w:t>
      </w:r>
      <w:proofErr w:type="spellEnd"/>
      <w:r w:rsidRPr="008C13F2">
        <w:rPr>
          <w:rFonts w:ascii="Times New Roman" w:eastAsia="Calibri" w:hAnsi="Times New Roman" w:cs="Times New Roman"/>
          <w:sz w:val="24"/>
          <w:szCs w:val="24"/>
        </w:rPr>
        <w:t>, pince, présház és telek esetében 8.000,</w:t>
      </w:r>
      <w:proofErr w:type="spellStart"/>
      <w:r w:rsidRPr="008C13F2">
        <w:rPr>
          <w:rFonts w:ascii="Times New Roman" w:eastAsia="Calibri" w:hAnsi="Times New Roman" w:cs="Times New Roman"/>
          <w:sz w:val="24"/>
          <w:szCs w:val="24"/>
        </w:rPr>
        <w:t>-Ft</w:t>
      </w:r>
      <w:proofErr w:type="spellEnd"/>
      <w:r w:rsidRPr="008C13F2">
        <w:rPr>
          <w:rFonts w:ascii="Times New Roman" w:eastAsia="Calibri" w:hAnsi="Times New Roman" w:cs="Times New Roman"/>
          <w:sz w:val="24"/>
          <w:szCs w:val="24"/>
        </w:rPr>
        <w:t>.</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 helyi adóról szóló 1990. évi C. törvény (továbbiakban: </w:t>
      </w:r>
      <w:proofErr w:type="spellStart"/>
      <w:r w:rsidRPr="008C13F2">
        <w:rPr>
          <w:rFonts w:ascii="Times New Roman" w:eastAsia="Calibri" w:hAnsi="Times New Roman" w:cs="Times New Roman"/>
          <w:sz w:val="24"/>
          <w:szCs w:val="24"/>
        </w:rPr>
        <w:t>Htv</w:t>
      </w:r>
      <w:proofErr w:type="spellEnd"/>
      <w:r w:rsidRPr="008C13F2">
        <w:rPr>
          <w:rFonts w:ascii="Times New Roman" w:eastAsia="Calibri" w:hAnsi="Times New Roman" w:cs="Times New Roman"/>
          <w:sz w:val="24"/>
          <w:szCs w:val="24"/>
        </w:rPr>
        <w:t xml:space="preserve">.) meghatározza az alkalmazható minimális és maximális adómértéket, amely a magánszemélyek kommunális adója tekintetében az alábbiak szerint alakult: </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3960"/>
          <w:tab w:val="right" w:pos="648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b/>
      </w:r>
      <w:proofErr w:type="gramStart"/>
      <w:r w:rsidRPr="008C13F2">
        <w:rPr>
          <w:rFonts w:ascii="Times New Roman" w:eastAsia="Calibri" w:hAnsi="Times New Roman" w:cs="Times New Roman"/>
          <w:sz w:val="24"/>
          <w:szCs w:val="24"/>
        </w:rPr>
        <w:t>minimum</w:t>
      </w:r>
      <w:proofErr w:type="gramEnd"/>
      <w:r w:rsidRPr="008C13F2">
        <w:rPr>
          <w:rFonts w:ascii="Times New Roman" w:eastAsia="Calibri" w:hAnsi="Times New Roman" w:cs="Times New Roman"/>
          <w:sz w:val="24"/>
          <w:szCs w:val="24"/>
        </w:rPr>
        <w:tab/>
        <w:t>maximum</w:t>
      </w:r>
    </w:p>
    <w:p w:rsidR="008C13F2" w:rsidRPr="008C13F2" w:rsidRDefault="008C13F2" w:rsidP="00172C41">
      <w:pPr>
        <w:tabs>
          <w:tab w:val="right" w:pos="3960"/>
          <w:tab w:val="right" w:pos="648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2014. év</w:t>
      </w:r>
      <w:r w:rsidRPr="008C13F2">
        <w:rPr>
          <w:rFonts w:ascii="Times New Roman" w:eastAsia="Calibri" w:hAnsi="Times New Roman" w:cs="Times New Roman"/>
          <w:sz w:val="24"/>
          <w:szCs w:val="24"/>
        </w:rPr>
        <w:tab/>
        <w:t>2.000,</w:t>
      </w:r>
      <w:proofErr w:type="spellStart"/>
      <w:r w:rsidRPr="008C13F2">
        <w:rPr>
          <w:rFonts w:ascii="Times New Roman" w:eastAsia="Calibri" w:hAnsi="Times New Roman" w:cs="Times New Roman"/>
          <w:sz w:val="24"/>
          <w:szCs w:val="24"/>
        </w:rPr>
        <w:t>-Ft</w:t>
      </w:r>
      <w:proofErr w:type="spellEnd"/>
      <w:r w:rsidRPr="008C13F2">
        <w:rPr>
          <w:rFonts w:ascii="Times New Roman" w:eastAsia="Calibri" w:hAnsi="Times New Roman" w:cs="Times New Roman"/>
          <w:sz w:val="24"/>
          <w:szCs w:val="24"/>
        </w:rPr>
        <w:tab/>
        <w:t>28.145,80 Ft</w:t>
      </w:r>
    </w:p>
    <w:p w:rsidR="008C13F2" w:rsidRPr="008C13F2" w:rsidRDefault="008C13F2" w:rsidP="00172C41">
      <w:pPr>
        <w:tabs>
          <w:tab w:val="right" w:pos="3960"/>
          <w:tab w:val="right" w:pos="648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2015. év</w:t>
      </w:r>
      <w:r w:rsidRPr="008C13F2">
        <w:rPr>
          <w:rFonts w:ascii="Times New Roman" w:eastAsia="Calibri" w:hAnsi="Times New Roman" w:cs="Times New Roman"/>
          <w:sz w:val="24"/>
          <w:szCs w:val="24"/>
        </w:rPr>
        <w:tab/>
        <w:t>2.000,</w:t>
      </w:r>
      <w:proofErr w:type="spellStart"/>
      <w:r w:rsidRPr="008C13F2">
        <w:rPr>
          <w:rFonts w:ascii="Times New Roman" w:eastAsia="Calibri" w:hAnsi="Times New Roman" w:cs="Times New Roman"/>
          <w:sz w:val="24"/>
          <w:szCs w:val="24"/>
        </w:rPr>
        <w:t>-Ft</w:t>
      </w:r>
      <w:proofErr w:type="spellEnd"/>
      <w:r w:rsidRPr="008C13F2">
        <w:rPr>
          <w:rFonts w:ascii="Times New Roman" w:eastAsia="Calibri" w:hAnsi="Times New Roman" w:cs="Times New Roman"/>
          <w:sz w:val="24"/>
          <w:szCs w:val="24"/>
        </w:rPr>
        <w:tab/>
        <w:t>28.624,30 Ft</w:t>
      </w:r>
    </w:p>
    <w:p w:rsidR="008C13F2" w:rsidRPr="008C13F2" w:rsidRDefault="008C13F2" w:rsidP="00172C41">
      <w:pPr>
        <w:tabs>
          <w:tab w:val="right" w:pos="3960"/>
          <w:tab w:val="right" w:pos="648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3960"/>
          <w:tab w:val="right" w:pos="648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Az adómaximum a törvényben meghatározott felső adómérték korrigálva az előző évek inflációs adatával (2003. évtől kezdődően az adóévet megelőző második évig eltelt évek inflációs %-ának szorzata).</w:t>
      </w: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Az adómentességre vonatkozó szabályokat helyi rendeletben rögzítettük, mely szabályok a beszámolási időszakban nem változtak.</w:t>
      </w: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mentességi határ a mindenkori nyugdíjminimum összegétől függ, amely 2008. január 1. napjától nem változott, ennek összege 28.500,</w:t>
      </w:r>
      <w:proofErr w:type="spellStart"/>
      <w:r w:rsidRPr="008C13F2">
        <w:rPr>
          <w:rFonts w:ascii="Times New Roman" w:eastAsia="Calibri" w:hAnsi="Times New Roman" w:cs="Times New Roman"/>
          <w:sz w:val="24"/>
          <w:szCs w:val="24"/>
        </w:rPr>
        <w:t>-Ft</w:t>
      </w:r>
      <w:proofErr w:type="spellEnd"/>
      <w:r w:rsidRPr="008C13F2">
        <w:rPr>
          <w:rFonts w:ascii="Times New Roman" w:eastAsia="Calibri" w:hAnsi="Times New Roman" w:cs="Times New Roman"/>
          <w:sz w:val="24"/>
          <w:szCs w:val="24"/>
        </w:rPr>
        <w:t>.</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Mentes a lakásra kivetett helyi adó alól az a magánszemély:</w:t>
      </w:r>
    </w:p>
    <w:p w:rsidR="008C13F2" w:rsidRPr="008C13F2" w:rsidRDefault="008C13F2" w:rsidP="00172C41">
      <w:pPr>
        <w:spacing w:after="0" w:line="240" w:lineRule="auto"/>
        <w:ind w:left="360"/>
        <w:jc w:val="both"/>
        <w:rPr>
          <w:rFonts w:ascii="Times New Roman" w:eastAsia="Calibri" w:hAnsi="Times New Roman" w:cs="Times New Roman"/>
          <w:sz w:val="24"/>
          <w:szCs w:val="24"/>
        </w:rPr>
      </w:pPr>
      <w:proofErr w:type="gramStart"/>
      <w:r w:rsidRPr="008C13F2">
        <w:rPr>
          <w:rFonts w:ascii="Times New Roman" w:eastAsia="Calibri" w:hAnsi="Times New Roman" w:cs="Times New Roman"/>
          <w:sz w:val="24"/>
          <w:szCs w:val="24"/>
        </w:rPr>
        <w:lastRenderedPageBreak/>
        <w:t>a</w:t>
      </w:r>
      <w:proofErr w:type="gramEnd"/>
      <w:r w:rsidRPr="008C13F2">
        <w:rPr>
          <w:rFonts w:ascii="Times New Roman" w:eastAsia="Calibri" w:hAnsi="Times New Roman" w:cs="Times New Roman"/>
          <w:sz w:val="24"/>
          <w:szCs w:val="24"/>
        </w:rPr>
        <w:t>.) aki esetében a közös háztartásban együtt élő családtagok nettó jövedelme egy főre vetítve nem haladja meg a mindenkori nyugdíjminimum 160 %-át.</w:t>
      </w:r>
    </w:p>
    <w:p w:rsidR="008C13F2" w:rsidRPr="008C13F2" w:rsidRDefault="008C13F2" w:rsidP="00172C41">
      <w:pPr>
        <w:spacing w:after="0" w:line="240" w:lineRule="auto"/>
        <w:ind w:left="360"/>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b.) az </w:t>
      </w:r>
      <w:proofErr w:type="spellStart"/>
      <w:r w:rsidRPr="008C13F2">
        <w:rPr>
          <w:rFonts w:ascii="Times New Roman" w:eastAsia="Calibri" w:hAnsi="Times New Roman" w:cs="Times New Roman"/>
          <w:sz w:val="24"/>
          <w:szCs w:val="24"/>
        </w:rPr>
        <w:t>az</w:t>
      </w:r>
      <w:proofErr w:type="spellEnd"/>
      <w:r w:rsidRPr="008C13F2">
        <w:rPr>
          <w:rFonts w:ascii="Times New Roman" w:eastAsia="Calibri" w:hAnsi="Times New Roman" w:cs="Times New Roman"/>
          <w:sz w:val="24"/>
          <w:szCs w:val="24"/>
        </w:rPr>
        <w:t xml:space="preserve"> egyedülálló, akinek nettó jövedelme nem haladja meg a mindenkori nyugdíjminimum 230 %-át.</w:t>
      </w:r>
    </w:p>
    <w:p w:rsidR="008C13F2" w:rsidRPr="008C13F2" w:rsidRDefault="008C13F2" w:rsidP="00172C41">
      <w:pPr>
        <w:spacing w:after="0" w:line="240" w:lineRule="auto"/>
        <w:ind w:left="399" w:hanging="399"/>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     </w:t>
      </w:r>
      <w:proofErr w:type="gramStart"/>
      <w:r w:rsidRPr="008C13F2">
        <w:rPr>
          <w:rFonts w:ascii="Times New Roman" w:eastAsia="Calibri" w:hAnsi="Times New Roman" w:cs="Times New Roman"/>
          <w:sz w:val="24"/>
          <w:szCs w:val="24"/>
        </w:rPr>
        <w:t>c.</w:t>
      </w:r>
      <w:proofErr w:type="gramEnd"/>
      <w:r w:rsidRPr="008C13F2">
        <w:rPr>
          <w:rFonts w:ascii="Times New Roman" w:eastAsia="Calibri" w:hAnsi="Times New Roman" w:cs="Times New Roman"/>
          <w:sz w:val="24"/>
          <w:szCs w:val="24"/>
        </w:rPr>
        <w:t>) az a 70 éven felüli egyedülálló, akinek havi jövedelme nem éri el a mindenkori    nyugdíjminimum 300 %-át.</w:t>
      </w:r>
    </w:p>
    <w:p w:rsidR="008C13F2" w:rsidRPr="008C13F2" w:rsidRDefault="008C13F2" w:rsidP="00172C41">
      <w:pPr>
        <w:spacing w:after="0" w:line="240" w:lineRule="auto"/>
        <w:ind w:left="360"/>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d.) azok a 70 éven felüli együtt élők (házastársak, élettársak), akiknek a havi jövedelme egy főre vetítve nem éri el a nyugdíjminimum 180 %-át. E kedvezmény akkor is megilleti a magánszemélyeket, ha már egyikük 70 éven felüli. </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2014. évben 5272 adózó fizetett 5932 adótárgy után. Az éves bruttó kivetés 55.869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volt, a befizetett adó pedig 55.888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2015. évben 5247 adózó fizetett 5937 adótárgy után. Az éves bruttó kivetés 55.659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volt, a befizetett adó pedig 55.677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p w:rsidR="008C13F2" w:rsidRPr="008C13F2" w:rsidRDefault="008C13F2" w:rsidP="00172C41">
      <w:pPr>
        <w:spacing w:after="0" w:line="240" w:lineRule="auto"/>
        <w:jc w:val="both"/>
        <w:rPr>
          <w:rFonts w:ascii="Times New Roman" w:eastAsia="Calibri" w:hAnsi="Times New Roman" w:cs="Times New Roman"/>
          <w:sz w:val="24"/>
          <w:szCs w:val="24"/>
        </w:rPr>
      </w:pP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9"/>
        <w:gridCol w:w="2357"/>
        <w:gridCol w:w="2357"/>
      </w:tblGrid>
      <w:tr w:rsidR="008C13F2" w:rsidRPr="008C13F2" w:rsidTr="00172C41">
        <w:tc>
          <w:tcPr>
            <w:tcW w:w="2529"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Megnevezés</w:t>
            </w:r>
          </w:p>
        </w:tc>
        <w:tc>
          <w:tcPr>
            <w:tcW w:w="2357" w:type="dxa"/>
          </w:tcPr>
          <w:p w:rsidR="008C13F2" w:rsidRPr="008C13F2" w:rsidRDefault="008C13F2" w:rsidP="00172C41">
            <w:pPr>
              <w:spacing w:after="0" w:line="240" w:lineRule="auto"/>
              <w:jc w:val="center"/>
              <w:rPr>
                <w:rFonts w:ascii="Times New Roman" w:eastAsia="Calibri" w:hAnsi="Times New Roman" w:cs="Times New Roman"/>
                <w:sz w:val="24"/>
                <w:szCs w:val="24"/>
              </w:rPr>
            </w:pPr>
            <w:r w:rsidRPr="008C13F2">
              <w:rPr>
                <w:rFonts w:ascii="Times New Roman" w:eastAsia="Calibri" w:hAnsi="Times New Roman" w:cs="Times New Roman"/>
                <w:sz w:val="24"/>
                <w:szCs w:val="24"/>
              </w:rPr>
              <w:t>2014. év</w:t>
            </w:r>
          </w:p>
        </w:tc>
        <w:tc>
          <w:tcPr>
            <w:tcW w:w="2357" w:type="dxa"/>
          </w:tcPr>
          <w:p w:rsidR="008C13F2" w:rsidRPr="008C13F2" w:rsidRDefault="008C13F2" w:rsidP="00172C41">
            <w:pPr>
              <w:spacing w:after="0" w:line="240" w:lineRule="auto"/>
              <w:jc w:val="center"/>
              <w:rPr>
                <w:rFonts w:ascii="Times New Roman" w:eastAsia="Calibri" w:hAnsi="Times New Roman" w:cs="Times New Roman"/>
                <w:sz w:val="24"/>
                <w:szCs w:val="24"/>
              </w:rPr>
            </w:pPr>
            <w:r w:rsidRPr="008C13F2">
              <w:rPr>
                <w:rFonts w:ascii="Times New Roman" w:eastAsia="Calibri" w:hAnsi="Times New Roman" w:cs="Times New Roman"/>
                <w:sz w:val="24"/>
                <w:szCs w:val="24"/>
              </w:rPr>
              <w:t>2015. év</w:t>
            </w:r>
          </w:p>
        </w:tc>
      </w:tr>
      <w:tr w:rsidR="008C13F2" w:rsidRPr="008C13F2" w:rsidTr="00172C41">
        <w:tc>
          <w:tcPr>
            <w:tcW w:w="2529"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Adóalanyok száma</w:t>
            </w:r>
          </w:p>
        </w:tc>
        <w:tc>
          <w:tcPr>
            <w:tcW w:w="2357" w:type="dxa"/>
          </w:tcPr>
          <w:p w:rsidR="008C13F2" w:rsidRPr="008C13F2" w:rsidRDefault="008C13F2" w:rsidP="00172C41">
            <w:pPr>
              <w:spacing w:after="0" w:line="240" w:lineRule="auto"/>
              <w:ind w:right="530"/>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5.</w:t>
            </w:r>
            <w:proofErr w:type="gramStart"/>
            <w:r w:rsidRPr="008C13F2">
              <w:rPr>
                <w:rFonts w:ascii="Times New Roman" w:eastAsia="Calibri" w:hAnsi="Times New Roman" w:cs="Times New Roman"/>
                <w:sz w:val="24"/>
                <w:szCs w:val="24"/>
              </w:rPr>
              <w:t>272  fő</w:t>
            </w:r>
            <w:proofErr w:type="gramEnd"/>
          </w:p>
        </w:tc>
        <w:tc>
          <w:tcPr>
            <w:tcW w:w="2357" w:type="dxa"/>
          </w:tcPr>
          <w:p w:rsidR="008C13F2" w:rsidRPr="008C13F2" w:rsidRDefault="008C13F2" w:rsidP="00172C41">
            <w:pPr>
              <w:spacing w:after="0" w:line="240" w:lineRule="auto"/>
              <w:ind w:right="530"/>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5.</w:t>
            </w:r>
            <w:proofErr w:type="gramStart"/>
            <w:r w:rsidRPr="008C13F2">
              <w:rPr>
                <w:rFonts w:ascii="Times New Roman" w:eastAsia="Calibri" w:hAnsi="Times New Roman" w:cs="Times New Roman"/>
                <w:sz w:val="24"/>
                <w:szCs w:val="24"/>
              </w:rPr>
              <w:t>247  fő</w:t>
            </w:r>
            <w:proofErr w:type="gramEnd"/>
          </w:p>
        </w:tc>
      </w:tr>
      <w:tr w:rsidR="008C13F2" w:rsidRPr="008C13F2" w:rsidTr="00172C41">
        <w:tc>
          <w:tcPr>
            <w:tcW w:w="2529"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Adótárgyak száma</w:t>
            </w:r>
          </w:p>
        </w:tc>
        <w:tc>
          <w:tcPr>
            <w:tcW w:w="2357" w:type="dxa"/>
          </w:tcPr>
          <w:p w:rsidR="008C13F2" w:rsidRPr="008C13F2" w:rsidRDefault="008C13F2" w:rsidP="00172C41">
            <w:pPr>
              <w:spacing w:after="0" w:line="240" w:lineRule="auto"/>
              <w:ind w:right="530"/>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 5.932 db</w:t>
            </w:r>
          </w:p>
        </w:tc>
        <w:tc>
          <w:tcPr>
            <w:tcW w:w="2357" w:type="dxa"/>
          </w:tcPr>
          <w:p w:rsidR="008C13F2" w:rsidRPr="008C13F2" w:rsidRDefault="008C13F2" w:rsidP="00172C41">
            <w:pPr>
              <w:spacing w:after="0" w:line="240" w:lineRule="auto"/>
              <w:ind w:right="530"/>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  5.937 db</w:t>
            </w:r>
          </w:p>
        </w:tc>
      </w:tr>
      <w:tr w:rsidR="008C13F2" w:rsidRPr="008C13F2" w:rsidTr="00172C41">
        <w:tc>
          <w:tcPr>
            <w:tcW w:w="2529"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Éves bruttó kivetés</w:t>
            </w:r>
          </w:p>
        </w:tc>
        <w:tc>
          <w:tcPr>
            <w:tcW w:w="2357" w:type="dxa"/>
          </w:tcPr>
          <w:p w:rsidR="008C13F2" w:rsidRPr="008C13F2" w:rsidRDefault="008C13F2" w:rsidP="00172C41">
            <w:pPr>
              <w:spacing w:after="0" w:line="240" w:lineRule="auto"/>
              <w:ind w:right="530"/>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55.869.- </w:t>
            </w:r>
            <w:proofErr w:type="spellStart"/>
            <w:r w:rsidRPr="008C13F2">
              <w:rPr>
                <w:rFonts w:ascii="Times New Roman" w:eastAsia="Calibri" w:hAnsi="Times New Roman" w:cs="Times New Roman"/>
                <w:sz w:val="24"/>
                <w:szCs w:val="24"/>
              </w:rPr>
              <w:t>eFt</w:t>
            </w:r>
            <w:proofErr w:type="spellEnd"/>
          </w:p>
        </w:tc>
        <w:tc>
          <w:tcPr>
            <w:tcW w:w="2357" w:type="dxa"/>
          </w:tcPr>
          <w:p w:rsidR="008C13F2" w:rsidRPr="008C13F2" w:rsidRDefault="008C13F2" w:rsidP="00172C41">
            <w:pPr>
              <w:spacing w:after="0" w:line="240" w:lineRule="auto"/>
              <w:ind w:right="530"/>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55.659.- </w:t>
            </w:r>
            <w:proofErr w:type="spellStart"/>
            <w:r w:rsidRPr="008C13F2">
              <w:rPr>
                <w:rFonts w:ascii="Times New Roman" w:eastAsia="Calibri" w:hAnsi="Times New Roman" w:cs="Times New Roman"/>
                <w:sz w:val="24"/>
                <w:szCs w:val="24"/>
              </w:rPr>
              <w:t>eFt</w:t>
            </w:r>
            <w:proofErr w:type="spellEnd"/>
          </w:p>
        </w:tc>
      </w:tr>
      <w:tr w:rsidR="008C13F2" w:rsidRPr="008C13F2" w:rsidTr="00172C41">
        <w:tc>
          <w:tcPr>
            <w:tcW w:w="2529"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Befizetett adó</w:t>
            </w:r>
          </w:p>
        </w:tc>
        <w:tc>
          <w:tcPr>
            <w:tcW w:w="2357" w:type="dxa"/>
          </w:tcPr>
          <w:p w:rsidR="008C13F2" w:rsidRPr="008C13F2" w:rsidRDefault="008C13F2" w:rsidP="00172C41">
            <w:pPr>
              <w:spacing w:after="0" w:line="240" w:lineRule="auto"/>
              <w:ind w:right="530"/>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55.888.- </w:t>
            </w:r>
            <w:proofErr w:type="spellStart"/>
            <w:r w:rsidRPr="008C13F2">
              <w:rPr>
                <w:rFonts w:ascii="Times New Roman" w:eastAsia="Calibri" w:hAnsi="Times New Roman" w:cs="Times New Roman"/>
                <w:sz w:val="24"/>
                <w:szCs w:val="24"/>
              </w:rPr>
              <w:t>eFt</w:t>
            </w:r>
            <w:proofErr w:type="spellEnd"/>
          </w:p>
        </w:tc>
        <w:tc>
          <w:tcPr>
            <w:tcW w:w="2357" w:type="dxa"/>
          </w:tcPr>
          <w:p w:rsidR="008C13F2" w:rsidRPr="008C13F2" w:rsidRDefault="008C13F2" w:rsidP="00172C41">
            <w:pPr>
              <w:spacing w:after="0" w:line="240" w:lineRule="auto"/>
              <w:ind w:right="530"/>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55.677.- </w:t>
            </w:r>
            <w:proofErr w:type="spellStart"/>
            <w:r w:rsidRPr="008C13F2">
              <w:rPr>
                <w:rFonts w:ascii="Times New Roman" w:eastAsia="Calibri" w:hAnsi="Times New Roman" w:cs="Times New Roman"/>
                <w:sz w:val="24"/>
                <w:szCs w:val="24"/>
              </w:rPr>
              <w:t>eFt</w:t>
            </w:r>
            <w:proofErr w:type="spellEnd"/>
          </w:p>
        </w:tc>
      </w:tr>
    </w:tbl>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Default="008C13F2" w:rsidP="00172C41">
      <w:pPr>
        <w:spacing w:after="0" w:line="240" w:lineRule="auto"/>
        <w:rPr>
          <w:rFonts w:ascii="Times New Roman" w:eastAsia="Calibri" w:hAnsi="Times New Roman" w:cs="Times New Roman"/>
          <w:sz w:val="24"/>
          <w:szCs w:val="24"/>
        </w:rPr>
      </w:pPr>
    </w:p>
    <w:p w:rsidR="008C13F2" w:rsidRDefault="008C13F2" w:rsidP="00172C41">
      <w:pPr>
        <w:spacing w:after="0" w:line="240" w:lineRule="auto"/>
        <w:rPr>
          <w:rFonts w:ascii="Times New Roman" w:eastAsia="Calibri" w:hAnsi="Times New Roman" w:cs="Times New Roman"/>
          <w:sz w:val="24"/>
          <w:szCs w:val="24"/>
        </w:rPr>
      </w:pPr>
    </w:p>
    <w:p w:rsidR="008C13F2" w:rsidRPr="008C13F2" w:rsidRDefault="008C13F2" w:rsidP="00172C41">
      <w:pPr>
        <w:spacing w:after="0" w:line="240" w:lineRule="auto"/>
        <w:rPr>
          <w:rFonts w:ascii="Times New Roman" w:eastAsia="Calibri" w:hAnsi="Times New Roman" w:cs="Times New Roman"/>
          <w:sz w:val="24"/>
          <w:szCs w:val="24"/>
        </w:rPr>
      </w:pPr>
      <w:r w:rsidRPr="008C13F2">
        <w:rPr>
          <w:rFonts w:ascii="Times New Roman" w:eastAsia="Calibri" w:hAnsi="Times New Roman" w:cs="Times New Roman"/>
          <w:sz w:val="24"/>
          <w:szCs w:val="24"/>
        </w:rPr>
        <w:t>Az adótárgyak összetétele a következőképpen alakult:</w:t>
      </w:r>
    </w:p>
    <w:p w:rsidR="008C13F2" w:rsidRPr="008C13F2" w:rsidRDefault="008C13F2" w:rsidP="00172C41">
      <w:pPr>
        <w:spacing w:after="0" w:line="240" w:lineRule="auto"/>
        <w:rPr>
          <w:rFonts w:ascii="Times New Roman" w:eastAsia="Calibri" w:hAnsi="Times New Roman" w:cs="Times New Roman"/>
          <w:sz w:val="24"/>
          <w:szCs w:val="24"/>
        </w:rPr>
      </w:pPr>
    </w:p>
    <w:tbl>
      <w:tblPr>
        <w:tblW w:w="6802" w:type="dxa"/>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1056"/>
        <w:gridCol w:w="1323"/>
        <w:gridCol w:w="1297"/>
        <w:gridCol w:w="1323"/>
      </w:tblGrid>
      <w:tr w:rsidR="008C13F2" w:rsidRPr="008C13F2" w:rsidTr="00172C41">
        <w:tc>
          <w:tcPr>
            <w:tcW w:w="1803" w:type="dxa"/>
            <w:vMerge w:val="restart"/>
          </w:tcPr>
          <w:p w:rsidR="008C13F2" w:rsidRPr="008C13F2" w:rsidRDefault="008C13F2" w:rsidP="00172C41">
            <w:pPr>
              <w:spacing w:after="0" w:line="240" w:lineRule="auto"/>
              <w:jc w:val="center"/>
              <w:rPr>
                <w:rFonts w:ascii="Times New Roman" w:eastAsia="Calibri" w:hAnsi="Times New Roman" w:cs="Times New Roman"/>
                <w:sz w:val="24"/>
                <w:szCs w:val="24"/>
              </w:rPr>
            </w:pPr>
            <w:r w:rsidRPr="008C13F2">
              <w:rPr>
                <w:rFonts w:ascii="Times New Roman" w:eastAsia="Calibri" w:hAnsi="Times New Roman" w:cs="Times New Roman"/>
                <w:sz w:val="24"/>
                <w:szCs w:val="24"/>
              </w:rPr>
              <w:t>Adótárgyak</w:t>
            </w:r>
          </w:p>
        </w:tc>
        <w:tc>
          <w:tcPr>
            <w:tcW w:w="2379" w:type="dxa"/>
            <w:gridSpan w:val="2"/>
          </w:tcPr>
          <w:p w:rsidR="008C13F2" w:rsidRPr="008C13F2" w:rsidRDefault="008C13F2" w:rsidP="00172C41">
            <w:pPr>
              <w:spacing w:after="0" w:line="240" w:lineRule="auto"/>
              <w:jc w:val="center"/>
              <w:rPr>
                <w:rFonts w:ascii="Times New Roman" w:eastAsia="Calibri" w:hAnsi="Times New Roman" w:cs="Times New Roman"/>
                <w:sz w:val="24"/>
                <w:szCs w:val="24"/>
              </w:rPr>
            </w:pPr>
            <w:r w:rsidRPr="008C13F2">
              <w:rPr>
                <w:rFonts w:ascii="Times New Roman" w:eastAsia="Calibri" w:hAnsi="Times New Roman" w:cs="Times New Roman"/>
                <w:sz w:val="24"/>
                <w:szCs w:val="24"/>
              </w:rPr>
              <w:t>2014.</w:t>
            </w:r>
          </w:p>
        </w:tc>
        <w:tc>
          <w:tcPr>
            <w:tcW w:w="2620" w:type="dxa"/>
            <w:gridSpan w:val="2"/>
          </w:tcPr>
          <w:p w:rsidR="008C13F2" w:rsidRPr="008C13F2" w:rsidRDefault="008C13F2" w:rsidP="00172C41">
            <w:pPr>
              <w:spacing w:after="0" w:line="240" w:lineRule="auto"/>
              <w:jc w:val="center"/>
              <w:rPr>
                <w:rFonts w:ascii="Times New Roman" w:eastAsia="Calibri" w:hAnsi="Times New Roman" w:cs="Times New Roman"/>
                <w:sz w:val="24"/>
                <w:szCs w:val="24"/>
              </w:rPr>
            </w:pPr>
            <w:r w:rsidRPr="008C13F2">
              <w:rPr>
                <w:rFonts w:ascii="Times New Roman" w:eastAsia="Calibri" w:hAnsi="Times New Roman" w:cs="Times New Roman"/>
                <w:sz w:val="24"/>
                <w:szCs w:val="24"/>
              </w:rPr>
              <w:t>2015.</w:t>
            </w:r>
          </w:p>
        </w:tc>
      </w:tr>
      <w:tr w:rsidR="008C13F2" w:rsidRPr="008C13F2" w:rsidTr="00172C41">
        <w:tc>
          <w:tcPr>
            <w:tcW w:w="1803" w:type="dxa"/>
            <w:vMerge/>
          </w:tcPr>
          <w:p w:rsidR="008C13F2" w:rsidRPr="008C13F2" w:rsidRDefault="008C13F2" w:rsidP="00172C41">
            <w:pPr>
              <w:spacing w:after="0" w:line="240" w:lineRule="auto"/>
              <w:jc w:val="both"/>
              <w:rPr>
                <w:rFonts w:ascii="Times New Roman" w:eastAsia="Calibri" w:hAnsi="Times New Roman" w:cs="Times New Roman"/>
                <w:sz w:val="24"/>
                <w:szCs w:val="24"/>
              </w:rPr>
            </w:pPr>
          </w:p>
        </w:tc>
        <w:tc>
          <w:tcPr>
            <w:tcW w:w="1056"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száma</w:t>
            </w:r>
          </w:p>
        </w:tc>
        <w:tc>
          <w:tcPr>
            <w:tcW w:w="1323"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megoszlása</w:t>
            </w:r>
          </w:p>
        </w:tc>
        <w:tc>
          <w:tcPr>
            <w:tcW w:w="1297"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száma </w:t>
            </w:r>
          </w:p>
        </w:tc>
        <w:tc>
          <w:tcPr>
            <w:tcW w:w="1323"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megoszlása</w:t>
            </w:r>
          </w:p>
        </w:tc>
      </w:tr>
      <w:tr w:rsidR="008C13F2" w:rsidRPr="008C13F2" w:rsidTr="00172C41">
        <w:tc>
          <w:tcPr>
            <w:tcW w:w="1803"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 lakás </w:t>
            </w:r>
          </w:p>
        </w:tc>
        <w:tc>
          <w:tcPr>
            <w:tcW w:w="1056"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5.428</w:t>
            </w:r>
          </w:p>
        </w:tc>
        <w:tc>
          <w:tcPr>
            <w:tcW w:w="1323"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91,5 %</w:t>
            </w:r>
          </w:p>
        </w:tc>
        <w:tc>
          <w:tcPr>
            <w:tcW w:w="1297"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5435</w:t>
            </w:r>
          </w:p>
        </w:tc>
        <w:tc>
          <w:tcPr>
            <w:tcW w:w="1323"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91,5 %</w:t>
            </w:r>
          </w:p>
        </w:tc>
      </w:tr>
      <w:tr w:rsidR="008C13F2" w:rsidRPr="008C13F2" w:rsidTr="00172C41">
        <w:tc>
          <w:tcPr>
            <w:tcW w:w="1803"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egyéb nem lakás célú</w:t>
            </w:r>
          </w:p>
        </w:tc>
        <w:tc>
          <w:tcPr>
            <w:tcW w:w="1056"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182</w:t>
            </w:r>
          </w:p>
        </w:tc>
        <w:tc>
          <w:tcPr>
            <w:tcW w:w="1323"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3,1 %</w:t>
            </w:r>
          </w:p>
        </w:tc>
        <w:tc>
          <w:tcPr>
            <w:tcW w:w="1297"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179</w:t>
            </w:r>
          </w:p>
        </w:tc>
        <w:tc>
          <w:tcPr>
            <w:tcW w:w="1323"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3,0 %</w:t>
            </w:r>
          </w:p>
        </w:tc>
      </w:tr>
      <w:tr w:rsidR="008C13F2" w:rsidRPr="008C13F2" w:rsidTr="00172C41">
        <w:tc>
          <w:tcPr>
            <w:tcW w:w="1803"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pince, présház</w:t>
            </w:r>
          </w:p>
        </w:tc>
        <w:tc>
          <w:tcPr>
            <w:tcW w:w="1056"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305</w:t>
            </w:r>
          </w:p>
        </w:tc>
        <w:tc>
          <w:tcPr>
            <w:tcW w:w="1323"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5,1 %</w:t>
            </w:r>
          </w:p>
        </w:tc>
        <w:tc>
          <w:tcPr>
            <w:tcW w:w="1297"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306</w:t>
            </w:r>
          </w:p>
        </w:tc>
        <w:tc>
          <w:tcPr>
            <w:tcW w:w="1323"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5,2 %</w:t>
            </w:r>
          </w:p>
        </w:tc>
      </w:tr>
      <w:tr w:rsidR="008C13F2" w:rsidRPr="008C13F2" w:rsidTr="00172C41">
        <w:tc>
          <w:tcPr>
            <w:tcW w:w="1803"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telek</w:t>
            </w:r>
          </w:p>
        </w:tc>
        <w:tc>
          <w:tcPr>
            <w:tcW w:w="1056"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16</w:t>
            </w:r>
          </w:p>
        </w:tc>
        <w:tc>
          <w:tcPr>
            <w:tcW w:w="1323"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0,3 %</w:t>
            </w:r>
          </w:p>
        </w:tc>
        <w:tc>
          <w:tcPr>
            <w:tcW w:w="1297"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16</w:t>
            </w:r>
          </w:p>
        </w:tc>
        <w:tc>
          <w:tcPr>
            <w:tcW w:w="1323"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0,3 %</w:t>
            </w:r>
          </w:p>
        </w:tc>
      </w:tr>
      <w:tr w:rsidR="008C13F2" w:rsidRPr="008C13F2" w:rsidTr="00172C41">
        <w:tc>
          <w:tcPr>
            <w:tcW w:w="1803" w:type="dxa"/>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összesen</w:t>
            </w:r>
          </w:p>
        </w:tc>
        <w:tc>
          <w:tcPr>
            <w:tcW w:w="1056"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5.932</w:t>
            </w:r>
          </w:p>
        </w:tc>
        <w:tc>
          <w:tcPr>
            <w:tcW w:w="1323"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100,0 %</w:t>
            </w:r>
          </w:p>
        </w:tc>
        <w:tc>
          <w:tcPr>
            <w:tcW w:w="1297"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5.937</w:t>
            </w:r>
          </w:p>
        </w:tc>
        <w:tc>
          <w:tcPr>
            <w:tcW w:w="1323" w:type="dxa"/>
          </w:tcPr>
          <w:p w:rsidR="008C13F2" w:rsidRPr="008C13F2" w:rsidRDefault="008C13F2" w:rsidP="00172C41">
            <w:pPr>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100,0 %</w:t>
            </w:r>
          </w:p>
        </w:tc>
      </w:tr>
    </w:tbl>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4140"/>
          <w:tab w:val="right" w:pos="648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2014. évben 267 adózó kért mentességet, ebből 244 adózónál a rendeletben foglalt mentességi feltételek fennálltak. 23 adózó méltányossági kérelmet nyújtott be, ebből kettőt elutasítottunk.</w:t>
      </w:r>
    </w:p>
    <w:p w:rsidR="008C13F2" w:rsidRPr="008C13F2" w:rsidRDefault="008C13F2" w:rsidP="00172C41">
      <w:pPr>
        <w:tabs>
          <w:tab w:val="right" w:pos="4140"/>
          <w:tab w:val="right" w:pos="648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2015. évben a 201 mentességi kérelmet benyújtó adózóból 182-en a rendelet alapján jogosultak voltak a kommunális adó mentességre, 19-en méltányosságból kérték az adó elengedését.</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 méltányosságból elengedett kommunális adó 2014. évben 242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2015. évben 190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volt, amely közvetett támogatásnak minősül.</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9A3B87" w:rsidRDefault="008C13F2" w:rsidP="009A3B87">
      <w:pPr>
        <w:pStyle w:val="Listaszerbekezds"/>
        <w:numPr>
          <w:ilvl w:val="0"/>
          <w:numId w:val="5"/>
        </w:numPr>
        <w:tabs>
          <w:tab w:val="right" w:pos="4860"/>
          <w:tab w:val="right" w:pos="6660"/>
        </w:tabs>
        <w:spacing w:after="0" w:line="240" w:lineRule="auto"/>
        <w:jc w:val="both"/>
        <w:rPr>
          <w:rFonts w:ascii="Times New Roman" w:eastAsia="Calibri" w:hAnsi="Times New Roman" w:cs="Times New Roman"/>
          <w:b/>
          <w:sz w:val="24"/>
          <w:szCs w:val="24"/>
          <w:u w:val="single"/>
        </w:rPr>
      </w:pPr>
      <w:r w:rsidRPr="009A3B87">
        <w:rPr>
          <w:rFonts w:ascii="Times New Roman" w:eastAsia="Calibri" w:hAnsi="Times New Roman" w:cs="Times New Roman"/>
          <w:b/>
          <w:sz w:val="24"/>
          <w:szCs w:val="24"/>
          <w:u w:val="single"/>
        </w:rPr>
        <w:t>Idegenforgalmi adó</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b/>
          <w:sz w:val="24"/>
          <w:szCs w:val="24"/>
          <w:u w:val="single"/>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Az idegenforgalmi adó mértéke a beszámolási időszakban személyenként és vendégéjszakánként 300,</w:t>
      </w:r>
      <w:proofErr w:type="spellStart"/>
      <w:r w:rsidRPr="008C13F2">
        <w:rPr>
          <w:rFonts w:ascii="Times New Roman" w:eastAsia="Calibri" w:hAnsi="Times New Roman" w:cs="Times New Roman"/>
          <w:sz w:val="24"/>
          <w:szCs w:val="24"/>
        </w:rPr>
        <w:t>-Ft</w:t>
      </w:r>
      <w:proofErr w:type="spellEnd"/>
      <w:r w:rsidRPr="008C13F2">
        <w:rPr>
          <w:rFonts w:ascii="Times New Roman" w:eastAsia="Calibri" w:hAnsi="Times New Roman" w:cs="Times New Roman"/>
          <w:sz w:val="24"/>
          <w:szCs w:val="24"/>
        </w:rPr>
        <w:t>.</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lastRenderedPageBreak/>
        <w:t xml:space="preserve">A </w:t>
      </w:r>
      <w:proofErr w:type="spellStart"/>
      <w:r w:rsidRPr="008C13F2">
        <w:rPr>
          <w:rFonts w:ascii="Times New Roman" w:eastAsia="Calibri" w:hAnsi="Times New Roman" w:cs="Times New Roman"/>
          <w:sz w:val="24"/>
          <w:szCs w:val="24"/>
        </w:rPr>
        <w:t>Htv</w:t>
      </w:r>
      <w:proofErr w:type="spellEnd"/>
      <w:r w:rsidRPr="008C13F2">
        <w:rPr>
          <w:rFonts w:ascii="Times New Roman" w:eastAsia="Calibri" w:hAnsi="Times New Roman" w:cs="Times New Roman"/>
          <w:sz w:val="24"/>
          <w:szCs w:val="24"/>
        </w:rPr>
        <w:t xml:space="preserve">. ebben az esetben is lehetővé teszi a törvényi maximumnál magasabb adómérték alkalmazását. A KSH által közzétett inflációs adatok figyelembevételével 2014. évben a felső határ 496,60 Ft/vendégéjszaka, 2015. évben 505,10 Ft/vendégéjszaka volt. </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Az idegenforgalmi adó fizetésére kötelezettek száma 2014. évben 4, 2015. évben 5 volt. </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 kereskedelmi szálláshely üzemeltetők 2014. évben bevallottak 1407 vendégéjszakát és ennek megfelelően 422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adókötelezettséget, befizetésre került 449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2015. évben az 5 adózó 1297 vendégéjszakát és ennek megfelelően 389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adókötelezettséget szerepeltetett adóbevallásában, befolyt 2015. december 31-ig 420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költségvetési törvény alapján 2014. évben a beszedett idegenforgalmi adó minden Ft-ja után a központi költségvetésből 1,50 Ft támogatás járt, 2015. évben pedig 1,55 Ft.</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6B0EE9" w:rsidRDefault="008C13F2" w:rsidP="006B0EE9">
      <w:pPr>
        <w:pStyle w:val="Listaszerbekezds"/>
        <w:numPr>
          <w:ilvl w:val="0"/>
          <w:numId w:val="5"/>
        </w:numPr>
        <w:spacing w:after="0" w:line="240" w:lineRule="auto"/>
        <w:jc w:val="both"/>
        <w:rPr>
          <w:rFonts w:ascii="Times New Roman" w:eastAsia="Calibri" w:hAnsi="Times New Roman" w:cs="Times New Roman"/>
          <w:b/>
          <w:sz w:val="24"/>
          <w:szCs w:val="24"/>
          <w:u w:val="single"/>
        </w:rPr>
      </w:pPr>
      <w:r w:rsidRPr="006B0EE9">
        <w:rPr>
          <w:rFonts w:ascii="Times New Roman" w:eastAsia="Calibri" w:hAnsi="Times New Roman" w:cs="Times New Roman"/>
          <w:b/>
          <w:sz w:val="24"/>
          <w:szCs w:val="24"/>
          <w:u w:val="single"/>
        </w:rPr>
        <w:t>Helyi iparűzési adó</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helyi iparűzési adó mértéke a beszámolási időszakban továbbra is a törvényi maximum, 2 %.</w:t>
      </w:r>
    </w:p>
    <w:p w:rsidR="008C13F2" w:rsidRPr="008C13F2" w:rsidRDefault="008C13F2" w:rsidP="00172C41">
      <w:pPr>
        <w:autoSpaceDE w:val="0"/>
        <w:autoSpaceDN w:val="0"/>
        <w:adjustRightInd w:val="0"/>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Az iparűzési adóalap kiszámítása az előző időszakhoz képest részben változott. </w:t>
      </w:r>
    </w:p>
    <w:p w:rsidR="008C13F2" w:rsidRPr="008C13F2" w:rsidRDefault="008C13F2" w:rsidP="00172C41">
      <w:pPr>
        <w:autoSpaceDE w:val="0"/>
        <w:autoSpaceDN w:val="0"/>
        <w:adjustRightInd w:val="0"/>
        <w:spacing w:after="0" w:line="240" w:lineRule="auto"/>
        <w:jc w:val="both"/>
        <w:rPr>
          <w:rFonts w:ascii="Times New Roman" w:eastAsia="Calibri" w:hAnsi="Times New Roman" w:cs="Times New Roman"/>
          <w:sz w:val="24"/>
          <w:szCs w:val="24"/>
        </w:rPr>
      </w:pPr>
    </w:p>
    <w:p w:rsidR="008C13F2" w:rsidRPr="008C13F2" w:rsidRDefault="008C13F2" w:rsidP="00172C41">
      <w:pPr>
        <w:autoSpaceDE w:val="0"/>
        <w:autoSpaceDN w:val="0"/>
        <w:adjustRightInd w:val="0"/>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Az állandó jelleggel végzett iparűzési tevékenység esetén az adó alapja a nettó árbevétel, csökkentve az eladott áruk beszerzési értékével, a közvetített szolgáltatások értékével, az alvállalkozói teljesítések értékével, az anyagköltséggel és az alapkutatás, alkalmazott kutatás, kísérleti fejlesztés elszámolt közvetlen költségével.</w:t>
      </w: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 2013. január 1-től hatályos helyi adó törvény szerint, ha a vállalkozó nettó árbevétele az 500 millió forintot meghaladja, akkor az árbevétel 500 millió forintot meghaladó részéből az eladott áruk beszerzési értéke és a közvetített szolgáltatások értéke csak korlátozottan vonható le. Ez a változás először a 2013. évről 2014. május 31-ig benyújtott bevallásokban realizálódott. </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2013. július 1-től a fizetendő iparűzési adóból levonható az adóévben ráfordításként elszámolt útdíj 7,5 %-</w:t>
      </w:r>
      <w:proofErr w:type="gramStart"/>
      <w:r w:rsidRPr="008C13F2">
        <w:rPr>
          <w:rFonts w:ascii="Times New Roman" w:eastAsia="Calibri" w:hAnsi="Times New Roman" w:cs="Times New Roman"/>
          <w:sz w:val="24"/>
          <w:szCs w:val="24"/>
        </w:rPr>
        <w:t>a.</w:t>
      </w:r>
      <w:proofErr w:type="gramEnd"/>
      <w:r w:rsidRPr="008C13F2">
        <w:rPr>
          <w:rFonts w:ascii="Times New Roman" w:eastAsia="Calibri" w:hAnsi="Times New Roman" w:cs="Times New Roman"/>
          <w:sz w:val="24"/>
          <w:szCs w:val="24"/>
        </w:rPr>
        <w:t xml:space="preserve"> Ez az adócsökkentő tényező is először a 2014. évben benyújtott bevallásokban szerepelt.</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Míg az előző törvényi változás bizonyos esetekben az iparűzési adóalapot növelte, az utóbbi változás pedig a fizetendő adó összegét csökkentette.</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helyi iparűzési adóból származó bevétel tervezése mindig bizonytalan, mert a vállalkozások nettó árbevétele, a csökkentő és növelő tényezők és ebből következően az önkormányzatra jutó adóalap előre pontosan nem prognosztizálható.</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helyi iparűzési adó beszedését jelentősen befolyásolja az is, hogy évről-évre nő a felszámolási eljárások száma. A felszámolás alá kerülő vállalkozások nagy része után jelentős összegű behajthatatlan adóhátralék marad az önkormányzatnál. Lehetőség van ugyan arra, hogy az önkormányzat igénybejelentéssel éljen a felszámolás alá került céggel szemben, de az esetek döntő részében adóbevétel ebből nem realizálódik.</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Állandó és ideiglenes jellegű iparűzési adót fizető vállalkozások megoszlása a beszámolási időszakban:</w:t>
      </w:r>
    </w:p>
    <w:p w:rsidR="006B0EE9" w:rsidRDefault="006B0EE9" w:rsidP="00172C41">
      <w:pPr>
        <w:spacing w:after="0" w:line="240" w:lineRule="auto"/>
        <w:jc w:val="both"/>
        <w:rPr>
          <w:rFonts w:ascii="Times New Roman" w:eastAsia="Calibri" w:hAnsi="Times New Roman" w:cs="Times New Roman"/>
          <w:sz w:val="24"/>
          <w:szCs w:val="24"/>
        </w:rPr>
      </w:pPr>
    </w:p>
    <w:p w:rsidR="006B0EE9" w:rsidRPr="008C13F2" w:rsidRDefault="006B0EE9"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p>
    <w:tbl>
      <w:tblPr>
        <w:tblW w:w="0" w:type="auto"/>
        <w:tblInd w:w="928" w:type="dxa"/>
        <w:tblBorders>
          <w:top w:val="single" w:sz="12" w:space="0" w:color="auto"/>
          <w:left w:val="single" w:sz="12" w:space="0" w:color="auto"/>
          <w:bottom w:val="single" w:sz="12" w:space="0" w:color="auto"/>
          <w:right w:val="single" w:sz="12" w:space="0" w:color="auto"/>
        </w:tblBorders>
        <w:tblLook w:val="01E0"/>
      </w:tblPr>
      <w:tblGrid>
        <w:gridCol w:w="2669"/>
        <w:gridCol w:w="2275"/>
        <w:gridCol w:w="2275"/>
      </w:tblGrid>
      <w:tr w:rsidR="008C13F2" w:rsidRPr="008C13F2" w:rsidTr="0023273B">
        <w:tc>
          <w:tcPr>
            <w:tcW w:w="2669" w:type="dxa"/>
            <w:tcBorders>
              <w:top w:val="single" w:sz="12" w:space="0" w:color="auto"/>
              <w:bottom w:val="single" w:sz="12" w:space="0" w:color="auto"/>
              <w:right w:val="single" w:sz="12" w:space="0" w:color="auto"/>
            </w:tcBorders>
          </w:tcPr>
          <w:p w:rsidR="008C13F2" w:rsidRPr="008C13F2" w:rsidRDefault="008C13F2" w:rsidP="00172C41">
            <w:pPr>
              <w:spacing w:after="0" w:line="240" w:lineRule="auto"/>
              <w:jc w:val="both"/>
              <w:rPr>
                <w:rFonts w:ascii="Times New Roman" w:eastAsia="Calibri" w:hAnsi="Times New Roman" w:cs="Times New Roman"/>
                <w:sz w:val="24"/>
                <w:szCs w:val="24"/>
              </w:rPr>
            </w:pPr>
          </w:p>
        </w:tc>
        <w:tc>
          <w:tcPr>
            <w:tcW w:w="2275"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spacing w:after="0" w:line="240" w:lineRule="auto"/>
              <w:jc w:val="center"/>
              <w:rPr>
                <w:rFonts w:ascii="Times New Roman" w:eastAsia="Calibri" w:hAnsi="Times New Roman" w:cs="Times New Roman"/>
                <w:sz w:val="24"/>
                <w:szCs w:val="24"/>
              </w:rPr>
            </w:pPr>
            <w:r w:rsidRPr="008C13F2">
              <w:rPr>
                <w:rFonts w:ascii="Times New Roman" w:eastAsia="Calibri" w:hAnsi="Times New Roman" w:cs="Times New Roman"/>
                <w:sz w:val="24"/>
                <w:szCs w:val="24"/>
              </w:rPr>
              <w:t>2014.</w:t>
            </w:r>
          </w:p>
        </w:tc>
        <w:tc>
          <w:tcPr>
            <w:tcW w:w="2275"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spacing w:after="0" w:line="240" w:lineRule="auto"/>
              <w:jc w:val="center"/>
              <w:rPr>
                <w:rFonts w:ascii="Times New Roman" w:eastAsia="Calibri" w:hAnsi="Times New Roman" w:cs="Times New Roman"/>
                <w:sz w:val="24"/>
                <w:szCs w:val="24"/>
              </w:rPr>
            </w:pPr>
            <w:r w:rsidRPr="008C13F2">
              <w:rPr>
                <w:rFonts w:ascii="Times New Roman" w:eastAsia="Calibri" w:hAnsi="Times New Roman" w:cs="Times New Roman"/>
                <w:sz w:val="24"/>
                <w:szCs w:val="24"/>
              </w:rPr>
              <w:t>2015.</w:t>
            </w:r>
          </w:p>
          <w:p w:rsidR="008C13F2" w:rsidRPr="008C13F2" w:rsidRDefault="008C13F2" w:rsidP="00172C41">
            <w:pPr>
              <w:spacing w:after="0" w:line="240" w:lineRule="auto"/>
              <w:jc w:val="center"/>
              <w:rPr>
                <w:rFonts w:ascii="Times New Roman" w:eastAsia="Calibri" w:hAnsi="Times New Roman" w:cs="Times New Roman"/>
                <w:sz w:val="24"/>
                <w:szCs w:val="24"/>
              </w:rPr>
            </w:pPr>
          </w:p>
        </w:tc>
      </w:tr>
      <w:tr w:rsidR="008C13F2" w:rsidRPr="008C13F2" w:rsidTr="0023273B">
        <w:tc>
          <w:tcPr>
            <w:tcW w:w="2669" w:type="dxa"/>
            <w:tcBorders>
              <w:top w:val="single" w:sz="12" w:space="0" w:color="auto"/>
              <w:bottom w:val="single" w:sz="4" w:space="0" w:color="auto"/>
            </w:tcBorders>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Állandó iparűzési adót fizető vállalkozó</w:t>
            </w:r>
          </w:p>
        </w:tc>
        <w:tc>
          <w:tcPr>
            <w:tcW w:w="2275" w:type="dxa"/>
            <w:tcBorders>
              <w:top w:val="single" w:sz="12" w:space="0" w:color="auto"/>
              <w:bottom w:val="single" w:sz="4" w:space="0" w:color="auto"/>
            </w:tcBorders>
          </w:tcPr>
          <w:p w:rsidR="008C13F2" w:rsidRPr="008C13F2" w:rsidRDefault="008C13F2" w:rsidP="00172C41">
            <w:pPr>
              <w:spacing w:after="0" w:line="240" w:lineRule="auto"/>
              <w:jc w:val="center"/>
              <w:rPr>
                <w:rFonts w:ascii="Times New Roman" w:eastAsia="Calibri" w:hAnsi="Times New Roman" w:cs="Times New Roman"/>
                <w:sz w:val="24"/>
                <w:szCs w:val="24"/>
              </w:rPr>
            </w:pPr>
          </w:p>
        </w:tc>
        <w:tc>
          <w:tcPr>
            <w:tcW w:w="2275" w:type="dxa"/>
            <w:tcBorders>
              <w:top w:val="single" w:sz="12" w:space="0" w:color="auto"/>
              <w:bottom w:val="single" w:sz="4" w:space="0" w:color="auto"/>
            </w:tcBorders>
          </w:tcPr>
          <w:p w:rsidR="008C13F2" w:rsidRPr="008C13F2" w:rsidRDefault="008C13F2" w:rsidP="00172C41">
            <w:pPr>
              <w:spacing w:after="0" w:line="240" w:lineRule="auto"/>
              <w:ind w:right="523"/>
              <w:jc w:val="center"/>
              <w:rPr>
                <w:rFonts w:ascii="Times New Roman" w:eastAsia="Calibri" w:hAnsi="Times New Roman" w:cs="Times New Roman"/>
                <w:sz w:val="24"/>
                <w:szCs w:val="24"/>
              </w:rPr>
            </w:pPr>
          </w:p>
        </w:tc>
      </w:tr>
      <w:tr w:rsidR="008C13F2" w:rsidRPr="008C13F2" w:rsidTr="0023273B">
        <w:tc>
          <w:tcPr>
            <w:tcW w:w="2669" w:type="dxa"/>
            <w:tcBorders>
              <w:top w:val="single" w:sz="4" w:space="0" w:color="auto"/>
              <w:bottom w:val="single" w:sz="4" w:space="0" w:color="auto"/>
              <w:right w:val="single" w:sz="4" w:space="0" w:color="auto"/>
            </w:tcBorders>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egyéni vállalkozás</w:t>
            </w:r>
          </w:p>
        </w:tc>
        <w:tc>
          <w:tcPr>
            <w:tcW w:w="2275" w:type="dxa"/>
            <w:tcBorders>
              <w:top w:val="single" w:sz="4" w:space="0" w:color="auto"/>
              <w:left w:val="single" w:sz="4" w:space="0" w:color="auto"/>
              <w:bottom w:val="single" w:sz="4" w:space="0" w:color="auto"/>
              <w:right w:val="single" w:sz="4" w:space="0" w:color="auto"/>
            </w:tcBorders>
          </w:tcPr>
          <w:p w:rsidR="008C13F2" w:rsidRPr="008C13F2" w:rsidRDefault="008C13F2" w:rsidP="00172C41">
            <w:pPr>
              <w:spacing w:after="0" w:line="240" w:lineRule="auto"/>
              <w:ind w:right="408"/>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843</w:t>
            </w:r>
          </w:p>
        </w:tc>
        <w:tc>
          <w:tcPr>
            <w:tcW w:w="2275" w:type="dxa"/>
            <w:tcBorders>
              <w:top w:val="single" w:sz="4" w:space="0" w:color="auto"/>
              <w:left w:val="single" w:sz="4" w:space="0" w:color="auto"/>
              <w:bottom w:val="single" w:sz="4" w:space="0" w:color="auto"/>
              <w:right w:val="single" w:sz="4" w:space="0" w:color="auto"/>
            </w:tcBorders>
          </w:tcPr>
          <w:p w:rsidR="008C13F2" w:rsidRPr="008C13F2" w:rsidRDefault="008C13F2" w:rsidP="00172C41">
            <w:pPr>
              <w:spacing w:after="0" w:line="240" w:lineRule="auto"/>
              <w:ind w:right="703"/>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904</w:t>
            </w:r>
          </w:p>
        </w:tc>
      </w:tr>
      <w:tr w:rsidR="008C13F2" w:rsidRPr="008C13F2" w:rsidTr="0023273B">
        <w:tc>
          <w:tcPr>
            <w:tcW w:w="2669" w:type="dxa"/>
            <w:tcBorders>
              <w:top w:val="single" w:sz="4" w:space="0" w:color="auto"/>
              <w:bottom w:val="single" w:sz="12" w:space="0" w:color="auto"/>
              <w:right w:val="single" w:sz="4" w:space="0" w:color="auto"/>
            </w:tcBorders>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társas vállalkozás</w:t>
            </w:r>
          </w:p>
        </w:tc>
        <w:tc>
          <w:tcPr>
            <w:tcW w:w="2275" w:type="dxa"/>
            <w:tcBorders>
              <w:top w:val="single" w:sz="4" w:space="0" w:color="auto"/>
              <w:left w:val="single" w:sz="4" w:space="0" w:color="auto"/>
              <w:bottom w:val="single" w:sz="12" w:space="0" w:color="auto"/>
              <w:right w:val="single" w:sz="4" w:space="0" w:color="auto"/>
            </w:tcBorders>
          </w:tcPr>
          <w:p w:rsidR="008C13F2" w:rsidRPr="008C13F2" w:rsidRDefault="008C13F2" w:rsidP="00172C41">
            <w:pPr>
              <w:spacing w:after="0" w:line="240" w:lineRule="auto"/>
              <w:ind w:right="408"/>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719</w:t>
            </w:r>
          </w:p>
        </w:tc>
        <w:tc>
          <w:tcPr>
            <w:tcW w:w="2275" w:type="dxa"/>
            <w:tcBorders>
              <w:top w:val="single" w:sz="4" w:space="0" w:color="auto"/>
              <w:left w:val="single" w:sz="4" w:space="0" w:color="auto"/>
              <w:bottom w:val="single" w:sz="12" w:space="0" w:color="auto"/>
              <w:right w:val="single" w:sz="4" w:space="0" w:color="auto"/>
            </w:tcBorders>
          </w:tcPr>
          <w:p w:rsidR="008C13F2" w:rsidRPr="008C13F2" w:rsidRDefault="008C13F2" w:rsidP="00172C41">
            <w:pPr>
              <w:spacing w:after="0" w:line="240" w:lineRule="auto"/>
              <w:ind w:right="703"/>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760</w:t>
            </w:r>
          </w:p>
        </w:tc>
      </w:tr>
      <w:tr w:rsidR="008C13F2" w:rsidRPr="008C13F2" w:rsidTr="0023273B">
        <w:tc>
          <w:tcPr>
            <w:tcW w:w="2669" w:type="dxa"/>
            <w:tcBorders>
              <w:top w:val="single" w:sz="12" w:space="0" w:color="auto"/>
              <w:bottom w:val="single" w:sz="12" w:space="0" w:color="auto"/>
              <w:right w:val="single" w:sz="12" w:space="0" w:color="auto"/>
            </w:tcBorders>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Összesen</w:t>
            </w:r>
          </w:p>
        </w:tc>
        <w:tc>
          <w:tcPr>
            <w:tcW w:w="2275"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spacing w:after="0" w:line="240" w:lineRule="auto"/>
              <w:ind w:right="408"/>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1.562</w:t>
            </w:r>
          </w:p>
        </w:tc>
        <w:tc>
          <w:tcPr>
            <w:tcW w:w="2275"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spacing w:after="0" w:line="240" w:lineRule="auto"/>
              <w:ind w:right="703"/>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1.664</w:t>
            </w:r>
          </w:p>
        </w:tc>
      </w:tr>
      <w:tr w:rsidR="008C13F2" w:rsidRPr="008C13F2" w:rsidTr="0023273B">
        <w:tc>
          <w:tcPr>
            <w:tcW w:w="2669" w:type="dxa"/>
            <w:tcBorders>
              <w:top w:val="single" w:sz="12" w:space="0" w:color="auto"/>
              <w:bottom w:val="single" w:sz="12" w:space="0" w:color="auto"/>
              <w:right w:val="single" w:sz="12" w:space="0" w:color="auto"/>
            </w:tcBorders>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ebből őstermelő</w:t>
            </w:r>
          </w:p>
        </w:tc>
        <w:tc>
          <w:tcPr>
            <w:tcW w:w="2275"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spacing w:after="0" w:line="240" w:lineRule="auto"/>
              <w:ind w:right="408"/>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126</w:t>
            </w:r>
          </w:p>
        </w:tc>
        <w:tc>
          <w:tcPr>
            <w:tcW w:w="2275"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spacing w:after="0" w:line="240" w:lineRule="auto"/>
              <w:ind w:right="703"/>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133</w:t>
            </w:r>
          </w:p>
        </w:tc>
      </w:tr>
      <w:tr w:rsidR="008C13F2" w:rsidRPr="008C13F2" w:rsidTr="0023273B">
        <w:tc>
          <w:tcPr>
            <w:tcW w:w="2669" w:type="dxa"/>
            <w:tcBorders>
              <w:top w:val="single" w:sz="4" w:space="0" w:color="auto"/>
              <w:bottom w:val="single" w:sz="12" w:space="0" w:color="auto"/>
              <w:right w:val="single" w:sz="4" w:space="0" w:color="auto"/>
            </w:tcBorders>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Ideiglenes iparűzési adót fizető vállalkozó</w:t>
            </w:r>
          </w:p>
        </w:tc>
        <w:tc>
          <w:tcPr>
            <w:tcW w:w="2275" w:type="dxa"/>
            <w:tcBorders>
              <w:top w:val="single" w:sz="4" w:space="0" w:color="auto"/>
              <w:left w:val="single" w:sz="4" w:space="0" w:color="auto"/>
              <w:bottom w:val="single" w:sz="12" w:space="0" w:color="auto"/>
              <w:right w:val="single" w:sz="4" w:space="0" w:color="auto"/>
            </w:tcBorders>
          </w:tcPr>
          <w:p w:rsidR="008C13F2" w:rsidRPr="008C13F2" w:rsidRDefault="008C13F2" w:rsidP="00172C41">
            <w:pPr>
              <w:spacing w:after="0" w:line="240" w:lineRule="auto"/>
              <w:ind w:right="408"/>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7</w:t>
            </w:r>
          </w:p>
        </w:tc>
        <w:tc>
          <w:tcPr>
            <w:tcW w:w="2275" w:type="dxa"/>
            <w:tcBorders>
              <w:top w:val="single" w:sz="4" w:space="0" w:color="auto"/>
              <w:left w:val="single" w:sz="4" w:space="0" w:color="auto"/>
              <w:bottom w:val="single" w:sz="12" w:space="0" w:color="auto"/>
              <w:right w:val="single" w:sz="4" w:space="0" w:color="auto"/>
            </w:tcBorders>
          </w:tcPr>
          <w:p w:rsidR="008C13F2" w:rsidRPr="008C13F2" w:rsidRDefault="008C13F2" w:rsidP="00172C41">
            <w:pPr>
              <w:spacing w:after="0" w:line="240" w:lineRule="auto"/>
              <w:ind w:right="703"/>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8</w:t>
            </w:r>
          </w:p>
        </w:tc>
      </w:tr>
      <w:tr w:rsidR="008C13F2" w:rsidRPr="008C13F2" w:rsidTr="0023273B">
        <w:tc>
          <w:tcPr>
            <w:tcW w:w="2669" w:type="dxa"/>
            <w:tcBorders>
              <w:top w:val="single" w:sz="12" w:space="0" w:color="auto"/>
              <w:bottom w:val="single" w:sz="12" w:space="0" w:color="auto"/>
              <w:right w:val="single" w:sz="12" w:space="0" w:color="auto"/>
            </w:tcBorders>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Mindösszesen</w:t>
            </w:r>
          </w:p>
        </w:tc>
        <w:tc>
          <w:tcPr>
            <w:tcW w:w="2275"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spacing w:after="0" w:line="240" w:lineRule="auto"/>
              <w:ind w:right="408"/>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1.569</w:t>
            </w:r>
          </w:p>
        </w:tc>
        <w:tc>
          <w:tcPr>
            <w:tcW w:w="2275"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spacing w:after="0" w:line="240" w:lineRule="auto"/>
              <w:ind w:right="703"/>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1.672</w:t>
            </w:r>
          </w:p>
        </w:tc>
      </w:tr>
      <w:tr w:rsidR="008C13F2" w:rsidRPr="008C13F2" w:rsidTr="0023273B">
        <w:tc>
          <w:tcPr>
            <w:tcW w:w="2669" w:type="dxa"/>
            <w:tcBorders>
              <w:top w:val="single" w:sz="12" w:space="0" w:color="auto"/>
              <w:bottom w:val="single" w:sz="12" w:space="0" w:color="auto"/>
              <w:right w:val="single" w:sz="12" w:space="0" w:color="auto"/>
            </w:tcBorders>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Bevallott adó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tc>
        <w:tc>
          <w:tcPr>
            <w:tcW w:w="2275"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spacing w:after="0" w:line="240" w:lineRule="auto"/>
              <w:ind w:right="408"/>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381.669</w:t>
            </w:r>
          </w:p>
        </w:tc>
        <w:tc>
          <w:tcPr>
            <w:tcW w:w="2275"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spacing w:after="0" w:line="240" w:lineRule="auto"/>
              <w:ind w:right="703"/>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466.592</w:t>
            </w:r>
          </w:p>
        </w:tc>
      </w:tr>
      <w:tr w:rsidR="008C13F2" w:rsidRPr="008C13F2" w:rsidTr="0023273B">
        <w:tc>
          <w:tcPr>
            <w:tcW w:w="2669" w:type="dxa"/>
            <w:tcBorders>
              <w:top w:val="single" w:sz="12" w:space="0" w:color="auto"/>
              <w:bottom w:val="single" w:sz="12" w:space="0" w:color="auto"/>
              <w:right w:val="single" w:sz="12" w:space="0" w:color="auto"/>
            </w:tcBorders>
          </w:tcPr>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Befizetett adó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tc>
        <w:tc>
          <w:tcPr>
            <w:tcW w:w="2275"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spacing w:after="0" w:line="240" w:lineRule="auto"/>
              <w:ind w:right="408"/>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379.430</w:t>
            </w:r>
          </w:p>
        </w:tc>
        <w:tc>
          <w:tcPr>
            <w:tcW w:w="2275"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spacing w:after="0" w:line="240" w:lineRule="auto"/>
              <w:ind w:right="703"/>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465.298</w:t>
            </w:r>
          </w:p>
        </w:tc>
      </w:tr>
    </w:tbl>
    <w:p w:rsidR="008C13F2" w:rsidRPr="008C13F2" w:rsidRDefault="008C13F2" w:rsidP="00172C41">
      <w:pPr>
        <w:spacing w:after="0" w:line="240" w:lineRule="auto"/>
        <w:jc w:val="both"/>
        <w:rPr>
          <w:rFonts w:ascii="Times New Roman" w:eastAsia="Calibri" w:hAnsi="Times New Roman" w:cs="Times New Roman"/>
          <w:sz w:val="24"/>
          <w:szCs w:val="24"/>
          <w:u w:val="single"/>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2014. adóévben összes iparűzési adó előírás 381.669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volt, 2014. december 31-ig befizetésre került összesen 379.430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2015. adóévben 466.592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iparűzési adót írtunk elő, ebből 99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átalánydíjas iparűzési adó volt. Az adózók 465.298 </w:t>
      </w:r>
      <w:proofErr w:type="spellStart"/>
      <w:r w:rsidRPr="008C13F2">
        <w:rPr>
          <w:rFonts w:ascii="Times New Roman" w:eastAsia="Calibri" w:hAnsi="Times New Roman" w:cs="Times New Roman"/>
          <w:sz w:val="24"/>
          <w:szCs w:val="24"/>
        </w:rPr>
        <w:t>eFt-ot</w:t>
      </w:r>
      <w:proofErr w:type="spellEnd"/>
      <w:r w:rsidRPr="008C13F2">
        <w:rPr>
          <w:rFonts w:ascii="Times New Roman" w:eastAsia="Calibri" w:hAnsi="Times New Roman" w:cs="Times New Roman"/>
          <w:sz w:val="24"/>
          <w:szCs w:val="24"/>
        </w:rPr>
        <w:t xml:space="preserve"> fizettek be.</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b/>
          <w:sz w:val="24"/>
          <w:szCs w:val="24"/>
          <w:u w:val="single"/>
        </w:rPr>
      </w:pPr>
      <w:r w:rsidRPr="008C13F2">
        <w:rPr>
          <w:rFonts w:ascii="Times New Roman" w:eastAsia="Calibri" w:hAnsi="Times New Roman" w:cs="Times New Roman"/>
          <w:b/>
          <w:sz w:val="24"/>
          <w:szCs w:val="24"/>
          <w:u w:val="single"/>
        </w:rPr>
        <w:t>Késedelmi pótlék</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b/>
          <w:sz w:val="24"/>
          <w:szCs w:val="24"/>
          <w:u w:val="single"/>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Késedelmi pótlék mértéke a mindenkori jegybanki alapkamat kétszerese.</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jegybanki alapkamat változásai a beszámolási időszakban:</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- 2014. január 1-én</w:t>
      </w:r>
      <w:r w:rsidRPr="008C13F2">
        <w:rPr>
          <w:rFonts w:ascii="Times New Roman" w:eastAsia="Calibri" w:hAnsi="Times New Roman" w:cs="Times New Roman"/>
          <w:sz w:val="24"/>
          <w:szCs w:val="24"/>
        </w:rPr>
        <w:tab/>
        <w:t>3,00 %</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- 2015. január 1-én</w:t>
      </w:r>
      <w:r w:rsidRPr="008C13F2">
        <w:rPr>
          <w:rFonts w:ascii="Times New Roman" w:eastAsia="Calibri" w:hAnsi="Times New Roman" w:cs="Times New Roman"/>
          <w:sz w:val="24"/>
          <w:szCs w:val="24"/>
        </w:rPr>
        <w:tab/>
        <w:t xml:space="preserve"> 2,10 %</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- 2015. december 31-én</w:t>
      </w:r>
      <w:r w:rsidRPr="008C13F2">
        <w:rPr>
          <w:rFonts w:ascii="Times New Roman" w:eastAsia="Calibri" w:hAnsi="Times New Roman" w:cs="Times New Roman"/>
          <w:sz w:val="24"/>
          <w:szCs w:val="24"/>
        </w:rPr>
        <w:tab/>
        <w:t>1,35 %</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 késedelmes fizetések miatt 2014. évben összesen 2.682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pótlékot írtunk elő, ebből befizetésre került 1.618 e Ft.</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 2015. évi felszámított késedelmi pótlék 1.855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volt, amelyből 1.315 </w:t>
      </w:r>
      <w:proofErr w:type="spellStart"/>
      <w:r w:rsidRPr="008C13F2">
        <w:rPr>
          <w:rFonts w:ascii="Times New Roman" w:eastAsia="Calibri" w:hAnsi="Times New Roman" w:cs="Times New Roman"/>
          <w:sz w:val="24"/>
          <w:szCs w:val="24"/>
        </w:rPr>
        <w:t>eFt-ot</w:t>
      </w:r>
      <w:proofErr w:type="spellEnd"/>
      <w:r w:rsidRPr="008C13F2">
        <w:rPr>
          <w:rFonts w:ascii="Times New Roman" w:eastAsia="Calibri" w:hAnsi="Times New Roman" w:cs="Times New Roman"/>
          <w:sz w:val="24"/>
          <w:szCs w:val="24"/>
        </w:rPr>
        <w:t xml:space="preserve"> az adózók befizettek.</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Az adózóknak lehetőségük van arra, hogy, amennyiben adófizetési kötelezettségüket határidőre nem tudják teljesíteni, pótlékmentes fizetési halasztást vagy részletfizetést kérjenek. Továbbá lehetőség van arra is, hogy az adóhatóság a magánszemély kérelme alapján mérsékelje, illetve elengedje az adó-, valamint pótléktartozást, ha annak megfizetése súlyosan veszélyezteti az adózó illetve a vele együtt élő közeli hozzátartozók megélhetését. A vállalkozók esetében az adóhatóság a pótlék- és bírságtartozást mérsékelheti vagy elengedheti, ha annak megfizetése a vállalkozási tevékenységet ellehetetlenítené.</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Egyes esetekben a pótlékelengedést az adóhatóság feltételhez köti, mint például a fennálló adótartozás megfizetéséhez.</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2014. évben a pótlékmentes fizetési halasztási, illetve részletfizetési kérelmek száma 14 volt, továbbá pótlékelengedésre nem került sor.</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2015. évben összesen 12 adózó nyújtott be kérelmet részletfizetés, illetve fizetési halasztás tárgyában. Ebből 1 adózó nem teljesítette a részletfizetést. Pótlék elengedési kérelme 1 adózónak volt, összesen 7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összegben.</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Az adó- és pótlék elengedés minden esetben közvetett támogatásnak minősül.</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6B0EE9" w:rsidRDefault="008C13F2" w:rsidP="006B0EE9">
      <w:pPr>
        <w:pStyle w:val="Listaszerbekezds"/>
        <w:numPr>
          <w:ilvl w:val="0"/>
          <w:numId w:val="5"/>
        </w:numPr>
        <w:tabs>
          <w:tab w:val="right" w:pos="4860"/>
          <w:tab w:val="right" w:pos="6660"/>
        </w:tabs>
        <w:spacing w:after="0" w:line="240" w:lineRule="auto"/>
        <w:jc w:val="both"/>
        <w:rPr>
          <w:rFonts w:ascii="Times New Roman" w:eastAsia="Calibri" w:hAnsi="Times New Roman" w:cs="Times New Roman"/>
          <w:b/>
          <w:sz w:val="24"/>
          <w:szCs w:val="24"/>
          <w:u w:val="single"/>
        </w:rPr>
      </w:pPr>
      <w:r w:rsidRPr="006B0EE9">
        <w:rPr>
          <w:rFonts w:ascii="Times New Roman" w:eastAsia="Calibri" w:hAnsi="Times New Roman" w:cs="Times New Roman"/>
          <w:b/>
          <w:sz w:val="24"/>
          <w:szCs w:val="24"/>
          <w:u w:val="single"/>
        </w:rPr>
        <w:t>Gépjárműadó</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gépjármű adóztatás szabályai az előző időszakhoz képest nem változtak.</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 gépjárműadó a személyszállító gépjárművek esetén a gépjármű teljesítményétől – </w:t>
      </w:r>
      <w:proofErr w:type="spellStart"/>
      <w:r w:rsidRPr="008C13F2">
        <w:rPr>
          <w:rFonts w:ascii="Times New Roman" w:eastAsia="Calibri" w:hAnsi="Times New Roman" w:cs="Times New Roman"/>
          <w:sz w:val="24"/>
          <w:szCs w:val="24"/>
        </w:rPr>
        <w:t>kw-ban</w:t>
      </w:r>
      <w:proofErr w:type="spellEnd"/>
      <w:r w:rsidRPr="008C13F2">
        <w:rPr>
          <w:rFonts w:ascii="Times New Roman" w:eastAsia="Calibri" w:hAnsi="Times New Roman" w:cs="Times New Roman"/>
          <w:sz w:val="24"/>
          <w:szCs w:val="24"/>
        </w:rPr>
        <w:t xml:space="preserve"> kifejezve – és a gépjármű korától függ. </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Az adómértékek 2010. január 1-től nem változtak:</w:t>
      </w:r>
    </w:p>
    <w:p w:rsidR="008C13F2" w:rsidRPr="008C13F2" w:rsidRDefault="008C13F2" w:rsidP="00172C41">
      <w:pPr>
        <w:numPr>
          <w:ilvl w:val="0"/>
          <w:numId w:val="4"/>
        </w:num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gyártási évében és az azt követő 3 naptári évben 300 Ft/</w:t>
      </w:r>
      <w:proofErr w:type="spellStart"/>
      <w:r w:rsidRPr="008C13F2">
        <w:rPr>
          <w:rFonts w:ascii="Times New Roman" w:eastAsia="Calibri" w:hAnsi="Times New Roman" w:cs="Times New Roman"/>
          <w:sz w:val="24"/>
          <w:szCs w:val="24"/>
        </w:rPr>
        <w:t>kw-ról</w:t>
      </w:r>
      <w:proofErr w:type="spellEnd"/>
      <w:r w:rsidRPr="008C13F2">
        <w:rPr>
          <w:rFonts w:ascii="Times New Roman" w:eastAsia="Calibri" w:hAnsi="Times New Roman" w:cs="Times New Roman"/>
          <w:sz w:val="24"/>
          <w:szCs w:val="24"/>
        </w:rPr>
        <w:t xml:space="preserve"> 345 Ft/kW-ra,</w:t>
      </w:r>
    </w:p>
    <w:p w:rsidR="008C13F2" w:rsidRPr="008C13F2" w:rsidRDefault="008C13F2" w:rsidP="00172C41">
      <w:pPr>
        <w:numPr>
          <w:ilvl w:val="0"/>
          <w:numId w:val="4"/>
        </w:num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gyártási évet követő 4-7. naptári évben 260 Ft/</w:t>
      </w:r>
      <w:proofErr w:type="spellStart"/>
      <w:r w:rsidRPr="008C13F2">
        <w:rPr>
          <w:rFonts w:ascii="Times New Roman" w:eastAsia="Calibri" w:hAnsi="Times New Roman" w:cs="Times New Roman"/>
          <w:sz w:val="24"/>
          <w:szCs w:val="24"/>
        </w:rPr>
        <w:t>kw-ról</w:t>
      </w:r>
      <w:proofErr w:type="spellEnd"/>
      <w:r w:rsidRPr="008C13F2">
        <w:rPr>
          <w:rFonts w:ascii="Times New Roman" w:eastAsia="Calibri" w:hAnsi="Times New Roman" w:cs="Times New Roman"/>
          <w:sz w:val="24"/>
          <w:szCs w:val="24"/>
        </w:rPr>
        <w:t xml:space="preserve"> 300 Ft/kW-ra,</w:t>
      </w:r>
    </w:p>
    <w:p w:rsidR="008C13F2" w:rsidRPr="008C13F2" w:rsidRDefault="008C13F2" w:rsidP="00172C41">
      <w:pPr>
        <w:numPr>
          <w:ilvl w:val="0"/>
          <w:numId w:val="4"/>
        </w:num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gyártási évet követő 8-11. naptári évben 200 Ft/</w:t>
      </w:r>
      <w:proofErr w:type="spellStart"/>
      <w:r w:rsidRPr="008C13F2">
        <w:rPr>
          <w:rFonts w:ascii="Times New Roman" w:eastAsia="Calibri" w:hAnsi="Times New Roman" w:cs="Times New Roman"/>
          <w:sz w:val="24"/>
          <w:szCs w:val="24"/>
        </w:rPr>
        <w:t>kw-ról</w:t>
      </w:r>
      <w:proofErr w:type="spellEnd"/>
      <w:r w:rsidRPr="008C13F2">
        <w:rPr>
          <w:rFonts w:ascii="Times New Roman" w:eastAsia="Calibri" w:hAnsi="Times New Roman" w:cs="Times New Roman"/>
          <w:sz w:val="24"/>
          <w:szCs w:val="24"/>
        </w:rPr>
        <w:t xml:space="preserve"> 230 Ft/</w:t>
      </w:r>
      <w:proofErr w:type="spellStart"/>
      <w:r w:rsidRPr="008C13F2">
        <w:rPr>
          <w:rFonts w:ascii="Times New Roman" w:eastAsia="Calibri" w:hAnsi="Times New Roman" w:cs="Times New Roman"/>
          <w:sz w:val="24"/>
          <w:szCs w:val="24"/>
        </w:rPr>
        <w:t>kw-ra</w:t>
      </w:r>
      <w:proofErr w:type="spellEnd"/>
      <w:r w:rsidRPr="008C13F2">
        <w:rPr>
          <w:rFonts w:ascii="Times New Roman" w:eastAsia="Calibri" w:hAnsi="Times New Roman" w:cs="Times New Roman"/>
          <w:sz w:val="24"/>
          <w:szCs w:val="24"/>
        </w:rPr>
        <w:t>,</w:t>
      </w:r>
    </w:p>
    <w:p w:rsidR="008C13F2" w:rsidRPr="008C13F2" w:rsidRDefault="008C13F2" w:rsidP="00172C41">
      <w:pPr>
        <w:numPr>
          <w:ilvl w:val="0"/>
          <w:numId w:val="4"/>
        </w:num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gyártási évet követő 12-15. naptári évben 160 Ft/</w:t>
      </w:r>
      <w:proofErr w:type="spellStart"/>
      <w:r w:rsidRPr="008C13F2">
        <w:rPr>
          <w:rFonts w:ascii="Times New Roman" w:eastAsia="Calibri" w:hAnsi="Times New Roman" w:cs="Times New Roman"/>
          <w:sz w:val="24"/>
          <w:szCs w:val="24"/>
        </w:rPr>
        <w:t>kw-ról</w:t>
      </w:r>
      <w:proofErr w:type="spellEnd"/>
      <w:r w:rsidRPr="008C13F2">
        <w:rPr>
          <w:rFonts w:ascii="Times New Roman" w:eastAsia="Calibri" w:hAnsi="Times New Roman" w:cs="Times New Roman"/>
          <w:sz w:val="24"/>
          <w:szCs w:val="24"/>
        </w:rPr>
        <w:t xml:space="preserve"> 185 Ft/kW-ra, </w:t>
      </w:r>
    </w:p>
    <w:p w:rsidR="008C13F2" w:rsidRPr="008C13F2" w:rsidRDefault="008C13F2" w:rsidP="00172C41">
      <w:pPr>
        <w:numPr>
          <w:ilvl w:val="0"/>
          <w:numId w:val="4"/>
        </w:num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gyártási évet követő 16. naptári évben és az azt követő naptári években 120 Ft/</w:t>
      </w:r>
      <w:proofErr w:type="spellStart"/>
      <w:r w:rsidRPr="008C13F2">
        <w:rPr>
          <w:rFonts w:ascii="Times New Roman" w:eastAsia="Calibri" w:hAnsi="Times New Roman" w:cs="Times New Roman"/>
          <w:sz w:val="24"/>
          <w:szCs w:val="24"/>
        </w:rPr>
        <w:t>kw-ról</w:t>
      </w:r>
      <w:proofErr w:type="spellEnd"/>
      <w:r w:rsidRPr="008C13F2">
        <w:rPr>
          <w:rFonts w:ascii="Times New Roman" w:eastAsia="Calibri" w:hAnsi="Times New Roman" w:cs="Times New Roman"/>
          <w:sz w:val="24"/>
          <w:szCs w:val="24"/>
        </w:rPr>
        <w:t xml:space="preserve"> 140 Ft/kW-ra.</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nem személyszállító gépjárműveknél az adó alapja az autóbusz, a nyerges vontató, a lakó pótkocsi esetében az önsúly, a tehergépjármű esetében az önsúly + raksúly 50 %-</w:t>
      </w:r>
      <w:proofErr w:type="gramStart"/>
      <w:r w:rsidRPr="008C13F2">
        <w:rPr>
          <w:rFonts w:ascii="Times New Roman" w:eastAsia="Calibri" w:hAnsi="Times New Roman" w:cs="Times New Roman"/>
          <w:sz w:val="24"/>
          <w:szCs w:val="24"/>
        </w:rPr>
        <w:t>a.</w:t>
      </w:r>
      <w:proofErr w:type="gramEnd"/>
      <w:r w:rsidRPr="008C13F2">
        <w:rPr>
          <w:rFonts w:ascii="Times New Roman" w:eastAsia="Calibri" w:hAnsi="Times New Roman" w:cs="Times New Roman"/>
          <w:sz w:val="24"/>
          <w:szCs w:val="24"/>
        </w:rPr>
        <w:t xml:space="preserve"> </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Az adó mértéke az adóalap minden megkezdett 100 kg-ja után </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 a légrugós vagy azzal egyenértékű rugózási rendszerű gépjármű esetében </w:t>
      </w:r>
      <w:smartTag w:uri="urn:schemas-microsoft-com:office:smarttags" w:element="metricconverter">
        <w:smartTagPr>
          <w:attr w:name="ProductID" w:val="1200 Ft"/>
        </w:smartTagPr>
        <w:r w:rsidRPr="008C13F2">
          <w:rPr>
            <w:rFonts w:ascii="Times New Roman" w:eastAsia="Calibri" w:hAnsi="Times New Roman" w:cs="Times New Roman"/>
            <w:sz w:val="24"/>
            <w:szCs w:val="24"/>
          </w:rPr>
          <w:t>1200 Ft</w:t>
        </w:r>
      </w:smartTag>
      <w:r w:rsidRPr="008C13F2">
        <w:rPr>
          <w:rFonts w:ascii="Times New Roman" w:eastAsia="Calibri" w:hAnsi="Times New Roman" w:cs="Times New Roman"/>
          <w:sz w:val="24"/>
          <w:szCs w:val="24"/>
        </w:rPr>
        <w:t>.</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 minden más esetben </w:t>
      </w:r>
      <w:smartTag w:uri="urn:schemas-microsoft-com:office:smarttags" w:element="metricconverter">
        <w:smartTagPr>
          <w:attr w:name="ProductID" w:val="1380 Ft"/>
        </w:smartTagPr>
        <w:r w:rsidRPr="008C13F2">
          <w:rPr>
            <w:rFonts w:ascii="Times New Roman" w:eastAsia="Calibri" w:hAnsi="Times New Roman" w:cs="Times New Roman"/>
            <w:sz w:val="24"/>
            <w:szCs w:val="24"/>
          </w:rPr>
          <w:t>1380 Ft</w:t>
        </w:r>
      </w:smartTag>
      <w:r w:rsidRPr="008C13F2">
        <w:rPr>
          <w:rFonts w:ascii="Times New Roman" w:eastAsia="Calibri" w:hAnsi="Times New Roman" w:cs="Times New Roman"/>
          <w:sz w:val="24"/>
          <w:szCs w:val="24"/>
        </w:rPr>
        <w:t>.</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2013. január 1. napjától a beszedett gépjárműadó megosztásra kerül, 60 %-át a központi költségvetésbe utaljuk, 40 %-a saját bevétel.</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Magyar Államkincstár részére negyedévente adatot szolgáltatunk a befolyt, kiutalt összegekről ellenőrzés céljából.</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2014. évben gépjárműadóban az adózók száma 4472 volt. a 2014. május havi kivetések alapján összesen 5957 gépjárműre fizettek gépjárműadót. A bruttó kivetés 115.104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volt, a ténylegesen befizetett adóösszeg 113.035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Ebből saját bevétel 45.214 </w:t>
      </w:r>
      <w:proofErr w:type="spellStart"/>
      <w:r w:rsidRPr="008C13F2">
        <w:rPr>
          <w:rFonts w:ascii="Times New Roman" w:eastAsia="Calibri" w:hAnsi="Times New Roman" w:cs="Times New Roman"/>
          <w:sz w:val="24"/>
          <w:szCs w:val="24"/>
        </w:rPr>
        <w:t>eFt</w:t>
      </w:r>
      <w:proofErr w:type="spellEnd"/>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Ebben az időszakban a mozgáskorlátozottság miatt </w:t>
      </w:r>
      <w:proofErr w:type="gramStart"/>
      <w:r w:rsidRPr="008C13F2">
        <w:rPr>
          <w:rFonts w:ascii="Times New Roman" w:eastAsia="Calibri" w:hAnsi="Times New Roman" w:cs="Times New Roman"/>
          <w:sz w:val="24"/>
          <w:szCs w:val="24"/>
        </w:rPr>
        <w:t>mentes</w:t>
      </w:r>
      <w:proofErr w:type="gramEnd"/>
      <w:r w:rsidRPr="008C13F2">
        <w:rPr>
          <w:rFonts w:ascii="Times New Roman" w:eastAsia="Calibri" w:hAnsi="Times New Roman" w:cs="Times New Roman"/>
          <w:sz w:val="24"/>
          <w:szCs w:val="24"/>
        </w:rPr>
        <w:t xml:space="preserve"> gépjárművek száma 79 volt.</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2015. évben az adózók száma 4525 volt, az adókivetési összesítés szerint 6127 gépjárműre fizettek gépjárműadót. A bruttó kivetés 118.189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volt, ebből befolyt 120.571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Ebből saját bevétel 48.228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p w:rsid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Ebben az időszakban a súlyos mozgáskorlátozottság miatti mentességek száma 73 volt.</w:t>
      </w:r>
    </w:p>
    <w:p w:rsidR="00172C41" w:rsidRDefault="00172C41" w:rsidP="00172C41">
      <w:pPr>
        <w:tabs>
          <w:tab w:val="right" w:pos="4860"/>
          <w:tab w:val="right" w:pos="6660"/>
        </w:tabs>
        <w:spacing w:after="0" w:line="240" w:lineRule="auto"/>
        <w:jc w:val="both"/>
        <w:rPr>
          <w:rFonts w:ascii="Times New Roman" w:eastAsia="Calibri" w:hAnsi="Times New Roman" w:cs="Times New Roman"/>
          <w:sz w:val="24"/>
          <w:szCs w:val="24"/>
        </w:rPr>
      </w:pPr>
    </w:p>
    <w:p w:rsidR="00172C41" w:rsidRPr="008C13F2" w:rsidRDefault="00172C41" w:rsidP="00172C41">
      <w:pPr>
        <w:tabs>
          <w:tab w:val="right" w:pos="4860"/>
          <w:tab w:val="right" w:pos="6660"/>
        </w:tabs>
        <w:spacing w:after="0" w:line="240" w:lineRule="auto"/>
        <w:jc w:val="both"/>
        <w:rPr>
          <w:rFonts w:ascii="Times New Roman" w:eastAsia="Calibri" w:hAnsi="Times New Roman" w:cs="Times New Roman"/>
          <w:sz w:val="24"/>
          <w:szCs w:val="24"/>
        </w:rPr>
      </w:pPr>
    </w:p>
    <w:tbl>
      <w:tblPr>
        <w:tblW w:w="7848" w:type="dxa"/>
        <w:tblInd w:w="613" w:type="dxa"/>
        <w:tblBorders>
          <w:top w:val="single" w:sz="12" w:space="0" w:color="auto"/>
          <w:left w:val="single" w:sz="12" w:space="0" w:color="auto"/>
          <w:bottom w:val="single" w:sz="12" w:space="0" w:color="auto"/>
          <w:right w:val="single" w:sz="12" w:space="0" w:color="auto"/>
        </w:tblBorders>
        <w:tblLook w:val="01E0"/>
      </w:tblPr>
      <w:tblGrid>
        <w:gridCol w:w="4608"/>
        <w:gridCol w:w="1620"/>
        <w:gridCol w:w="1620"/>
      </w:tblGrid>
      <w:tr w:rsidR="008C13F2" w:rsidRPr="008C13F2" w:rsidTr="00172C41">
        <w:tc>
          <w:tcPr>
            <w:tcW w:w="4608" w:type="dxa"/>
            <w:tcBorders>
              <w:top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
        </w:tc>
        <w:tc>
          <w:tcPr>
            <w:tcW w:w="1620"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center"/>
              <w:rPr>
                <w:rFonts w:ascii="Times New Roman" w:eastAsia="Calibri" w:hAnsi="Times New Roman" w:cs="Times New Roman"/>
                <w:sz w:val="24"/>
                <w:szCs w:val="24"/>
              </w:rPr>
            </w:pPr>
            <w:r w:rsidRPr="008C13F2">
              <w:rPr>
                <w:rFonts w:ascii="Times New Roman" w:eastAsia="Calibri" w:hAnsi="Times New Roman" w:cs="Times New Roman"/>
                <w:sz w:val="24"/>
                <w:szCs w:val="24"/>
              </w:rPr>
              <w:t>2014.</w:t>
            </w:r>
          </w:p>
        </w:tc>
        <w:tc>
          <w:tcPr>
            <w:tcW w:w="1620"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center"/>
              <w:rPr>
                <w:rFonts w:ascii="Times New Roman" w:eastAsia="Calibri" w:hAnsi="Times New Roman" w:cs="Times New Roman"/>
                <w:sz w:val="24"/>
                <w:szCs w:val="24"/>
              </w:rPr>
            </w:pPr>
            <w:r w:rsidRPr="008C13F2">
              <w:rPr>
                <w:rFonts w:ascii="Times New Roman" w:eastAsia="Calibri" w:hAnsi="Times New Roman" w:cs="Times New Roman"/>
                <w:sz w:val="24"/>
                <w:szCs w:val="24"/>
              </w:rPr>
              <w:t>2015.</w:t>
            </w:r>
          </w:p>
        </w:tc>
      </w:tr>
      <w:tr w:rsidR="008C13F2" w:rsidRPr="008C13F2" w:rsidTr="00172C41">
        <w:tc>
          <w:tcPr>
            <w:tcW w:w="4608" w:type="dxa"/>
            <w:tcBorders>
              <w:top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Adózók száma (fő)</w:t>
            </w:r>
          </w:p>
        </w:tc>
        <w:tc>
          <w:tcPr>
            <w:tcW w:w="1620"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4472</w:t>
            </w:r>
          </w:p>
        </w:tc>
        <w:tc>
          <w:tcPr>
            <w:tcW w:w="1620"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4525</w:t>
            </w:r>
          </w:p>
        </w:tc>
      </w:tr>
      <w:tr w:rsidR="008C13F2" w:rsidRPr="008C13F2" w:rsidTr="00172C41">
        <w:tc>
          <w:tcPr>
            <w:tcW w:w="4608" w:type="dxa"/>
            <w:tcBorders>
              <w:top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Gépjárművek száma</w:t>
            </w:r>
          </w:p>
        </w:tc>
        <w:tc>
          <w:tcPr>
            <w:tcW w:w="1620"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5957</w:t>
            </w:r>
          </w:p>
        </w:tc>
        <w:tc>
          <w:tcPr>
            <w:tcW w:w="1620"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6127</w:t>
            </w:r>
          </w:p>
        </w:tc>
      </w:tr>
      <w:tr w:rsidR="008C13F2" w:rsidRPr="008C13F2" w:rsidTr="00172C41">
        <w:tc>
          <w:tcPr>
            <w:tcW w:w="4608" w:type="dxa"/>
            <w:tcBorders>
              <w:top w:val="single" w:sz="12" w:space="0" w:color="auto"/>
              <w:left w:val="single" w:sz="12" w:space="0" w:color="auto"/>
              <w:bottom w:val="single" w:sz="4" w:space="0" w:color="auto"/>
              <w:right w:val="single" w:sz="12" w:space="0" w:color="auto"/>
            </w:tcBorders>
          </w:tcPr>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önsúly alapján adózó gépjárművek</w:t>
            </w:r>
          </w:p>
        </w:tc>
        <w:tc>
          <w:tcPr>
            <w:tcW w:w="1620" w:type="dxa"/>
            <w:tcBorders>
              <w:top w:val="single" w:sz="12" w:space="0" w:color="auto"/>
              <w:left w:val="single" w:sz="12" w:space="0" w:color="auto"/>
              <w:bottom w:val="single" w:sz="4"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24</w:t>
            </w:r>
          </w:p>
        </w:tc>
        <w:tc>
          <w:tcPr>
            <w:tcW w:w="1620" w:type="dxa"/>
            <w:tcBorders>
              <w:top w:val="single" w:sz="12" w:space="0" w:color="auto"/>
              <w:left w:val="single" w:sz="12" w:space="0" w:color="auto"/>
              <w:bottom w:val="single" w:sz="4"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24</w:t>
            </w:r>
          </w:p>
        </w:tc>
      </w:tr>
      <w:tr w:rsidR="008C13F2" w:rsidRPr="008C13F2" w:rsidTr="00172C41">
        <w:tc>
          <w:tcPr>
            <w:tcW w:w="4608" w:type="dxa"/>
            <w:tcBorders>
              <w:top w:val="single" w:sz="4" w:space="0" w:color="auto"/>
              <w:left w:val="single" w:sz="12" w:space="0" w:color="auto"/>
              <w:bottom w:val="single" w:sz="4" w:space="0" w:color="auto"/>
              <w:right w:val="single" w:sz="12" w:space="0" w:color="auto"/>
            </w:tcBorders>
          </w:tcPr>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önsúly+raksúly 50 %-</w:t>
            </w:r>
            <w:proofErr w:type="gramStart"/>
            <w:r w:rsidRPr="008C13F2">
              <w:rPr>
                <w:rFonts w:ascii="Times New Roman" w:eastAsia="Calibri" w:hAnsi="Times New Roman" w:cs="Times New Roman"/>
                <w:sz w:val="24"/>
                <w:szCs w:val="24"/>
              </w:rPr>
              <w:t>a</w:t>
            </w:r>
            <w:proofErr w:type="gramEnd"/>
            <w:r w:rsidRPr="008C13F2">
              <w:rPr>
                <w:rFonts w:ascii="Times New Roman" w:eastAsia="Calibri" w:hAnsi="Times New Roman" w:cs="Times New Roman"/>
                <w:sz w:val="24"/>
                <w:szCs w:val="24"/>
              </w:rPr>
              <w:t xml:space="preserve"> alapján adózó </w:t>
            </w:r>
            <w:proofErr w:type="spellStart"/>
            <w:r w:rsidRPr="008C13F2">
              <w:rPr>
                <w:rFonts w:ascii="Times New Roman" w:eastAsia="Calibri" w:hAnsi="Times New Roman" w:cs="Times New Roman"/>
                <w:sz w:val="24"/>
                <w:szCs w:val="24"/>
              </w:rPr>
              <w:t>gj</w:t>
            </w:r>
            <w:proofErr w:type="spellEnd"/>
            <w:r w:rsidRPr="008C13F2">
              <w:rPr>
                <w:rFonts w:ascii="Times New Roman" w:eastAsia="Calibri" w:hAnsi="Times New Roman" w:cs="Times New Roman"/>
                <w:sz w:val="24"/>
                <w:szCs w:val="24"/>
              </w:rPr>
              <w:t xml:space="preserve">. </w:t>
            </w:r>
          </w:p>
        </w:tc>
        <w:tc>
          <w:tcPr>
            <w:tcW w:w="1620" w:type="dxa"/>
            <w:tcBorders>
              <w:top w:val="single" w:sz="4" w:space="0" w:color="auto"/>
              <w:left w:val="single" w:sz="12" w:space="0" w:color="auto"/>
              <w:bottom w:val="single" w:sz="4"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 994</w:t>
            </w:r>
          </w:p>
        </w:tc>
        <w:tc>
          <w:tcPr>
            <w:tcW w:w="1620" w:type="dxa"/>
            <w:tcBorders>
              <w:top w:val="single" w:sz="4" w:space="0" w:color="auto"/>
              <w:left w:val="single" w:sz="12" w:space="0" w:color="auto"/>
              <w:bottom w:val="single" w:sz="4"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1012</w:t>
            </w:r>
          </w:p>
        </w:tc>
      </w:tr>
      <w:tr w:rsidR="008C13F2" w:rsidRPr="008C13F2" w:rsidTr="00172C41">
        <w:tc>
          <w:tcPr>
            <w:tcW w:w="4608" w:type="dxa"/>
            <w:tcBorders>
              <w:top w:val="single" w:sz="4" w:space="0" w:color="auto"/>
              <w:left w:val="single" w:sz="12" w:space="0" w:color="auto"/>
              <w:bottom w:val="single" w:sz="4" w:space="0" w:color="auto"/>
              <w:right w:val="single" w:sz="12" w:space="0" w:color="auto"/>
            </w:tcBorders>
          </w:tcPr>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teljesítmény alapján adózó gépjárművek</w:t>
            </w:r>
          </w:p>
        </w:tc>
        <w:tc>
          <w:tcPr>
            <w:tcW w:w="1620" w:type="dxa"/>
            <w:tcBorders>
              <w:top w:val="single" w:sz="4" w:space="0" w:color="auto"/>
              <w:left w:val="single" w:sz="12" w:space="0" w:color="auto"/>
              <w:bottom w:val="single" w:sz="4"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4790</w:t>
            </w:r>
          </w:p>
        </w:tc>
        <w:tc>
          <w:tcPr>
            <w:tcW w:w="1620" w:type="dxa"/>
            <w:tcBorders>
              <w:top w:val="single" w:sz="4" w:space="0" w:color="auto"/>
              <w:left w:val="single" w:sz="12" w:space="0" w:color="auto"/>
              <w:bottom w:val="single" w:sz="4"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4901</w:t>
            </w:r>
          </w:p>
        </w:tc>
      </w:tr>
      <w:tr w:rsidR="008C13F2" w:rsidRPr="008C13F2" w:rsidTr="00172C41">
        <w:tc>
          <w:tcPr>
            <w:tcW w:w="4608" w:type="dxa"/>
            <w:tcBorders>
              <w:top w:val="single" w:sz="4"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 légrugós </w:t>
            </w:r>
            <w:proofErr w:type="spellStart"/>
            <w:r w:rsidRPr="008C13F2">
              <w:rPr>
                <w:rFonts w:ascii="Times New Roman" w:eastAsia="Calibri" w:hAnsi="Times New Roman" w:cs="Times New Roman"/>
                <w:sz w:val="24"/>
                <w:szCs w:val="24"/>
              </w:rPr>
              <w:t>gj</w:t>
            </w:r>
            <w:proofErr w:type="spellEnd"/>
            <w:r w:rsidRPr="008C13F2">
              <w:rPr>
                <w:rFonts w:ascii="Times New Roman" w:eastAsia="Calibri" w:hAnsi="Times New Roman" w:cs="Times New Roman"/>
                <w:sz w:val="24"/>
                <w:szCs w:val="24"/>
              </w:rPr>
              <w:t>.</w:t>
            </w:r>
          </w:p>
        </w:tc>
        <w:tc>
          <w:tcPr>
            <w:tcW w:w="1620" w:type="dxa"/>
            <w:tcBorders>
              <w:top w:val="single" w:sz="4"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149</w:t>
            </w:r>
          </w:p>
        </w:tc>
        <w:tc>
          <w:tcPr>
            <w:tcW w:w="1620" w:type="dxa"/>
            <w:tcBorders>
              <w:top w:val="single" w:sz="4"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190</w:t>
            </w:r>
          </w:p>
        </w:tc>
      </w:tr>
      <w:tr w:rsidR="008C13F2" w:rsidRPr="008C13F2" w:rsidTr="00172C41">
        <w:tc>
          <w:tcPr>
            <w:tcW w:w="4608" w:type="dxa"/>
            <w:tcBorders>
              <w:top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roofErr w:type="gramStart"/>
            <w:r w:rsidRPr="008C13F2">
              <w:rPr>
                <w:rFonts w:ascii="Times New Roman" w:eastAsia="Calibri" w:hAnsi="Times New Roman" w:cs="Times New Roman"/>
                <w:sz w:val="24"/>
                <w:szCs w:val="24"/>
              </w:rPr>
              <w:t>Mentes</w:t>
            </w:r>
            <w:proofErr w:type="gramEnd"/>
            <w:r w:rsidRPr="008C13F2">
              <w:rPr>
                <w:rFonts w:ascii="Times New Roman" w:eastAsia="Calibri" w:hAnsi="Times New Roman" w:cs="Times New Roman"/>
                <w:sz w:val="24"/>
                <w:szCs w:val="24"/>
              </w:rPr>
              <w:t xml:space="preserve"> gépjárművek</w:t>
            </w:r>
          </w:p>
        </w:tc>
        <w:tc>
          <w:tcPr>
            <w:tcW w:w="1620"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 96</w:t>
            </w:r>
          </w:p>
        </w:tc>
        <w:tc>
          <w:tcPr>
            <w:tcW w:w="1620"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99</w:t>
            </w:r>
          </w:p>
        </w:tc>
      </w:tr>
      <w:tr w:rsidR="008C13F2" w:rsidRPr="008C13F2" w:rsidTr="00172C41">
        <w:tc>
          <w:tcPr>
            <w:tcW w:w="4608" w:type="dxa"/>
            <w:tcBorders>
              <w:top w:val="single" w:sz="12" w:space="0" w:color="auto"/>
              <w:bottom w:val="single" w:sz="4" w:space="0" w:color="auto"/>
              <w:right w:val="single" w:sz="4" w:space="0" w:color="auto"/>
            </w:tcBorders>
          </w:tcPr>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költségvetési szervek, egyház mentessége</w:t>
            </w:r>
          </w:p>
        </w:tc>
        <w:tc>
          <w:tcPr>
            <w:tcW w:w="1620" w:type="dxa"/>
            <w:tcBorders>
              <w:top w:val="single" w:sz="12" w:space="0" w:color="auto"/>
              <w:left w:val="single" w:sz="4" w:space="0" w:color="auto"/>
              <w:bottom w:val="single" w:sz="4" w:space="0" w:color="auto"/>
              <w:right w:val="single" w:sz="4"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23</w:t>
            </w:r>
          </w:p>
        </w:tc>
        <w:tc>
          <w:tcPr>
            <w:tcW w:w="1620" w:type="dxa"/>
            <w:tcBorders>
              <w:top w:val="single" w:sz="12" w:space="0" w:color="auto"/>
              <w:left w:val="single" w:sz="4" w:space="0" w:color="auto"/>
              <w:bottom w:val="single" w:sz="4" w:space="0" w:color="auto"/>
              <w:right w:val="single" w:sz="4"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20</w:t>
            </w:r>
          </w:p>
        </w:tc>
      </w:tr>
      <w:tr w:rsidR="008C13F2" w:rsidRPr="008C13F2" w:rsidTr="00172C41">
        <w:tc>
          <w:tcPr>
            <w:tcW w:w="4608" w:type="dxa"/>
            <w:tcBorders>
              <w:top w:val="single" w:sz="4" w:space="0" w:color="auto"/>
              <w:bottom w:val="single" w:sz="12" w:space="0" w:color="auto"/>
              <w:right w:val="single" w:sz="4" w:space="0" w:color="auto"/>
            </w:tcBorders>
          </w:tcPr>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mozgáskorlátozottság miatt</w:t>
            </w:r>
          </w:p>
        </w:tc>
        <w:tc>
          <w:tcPr>
            <w:tcW w:w="1620" w:type="dxa"/>
            <w:tcBorders>
              <w:top w:val="single" w:sz="4" w:space="0" w:color="auto"/>
              <w:left w:val="single" w:sz="4" w:space="0" w:color="auto"/>
              <w:bottom w:val="single" w:sz="12" w:space="0" w:color="auto"/>
              <w:right w:val="single" w:sz="4"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 79</w:t>
            </w:r>
          </w:p>
        </w:tc>
        <w:tc>
          <w:tcPr>
            <w:tcW w:w="1620" w:type="dxa"/>
            <w:tcBorders>
              <w:top w:val="single" w:sz="4" w:space="0" w:color="auto"/>
              <w:left w:val="single" w:sz="4" w:space="0" w:color="auto"/>
              <w:bottom w:val="single" w:sz="12" w:space="0" w:color="auto"/>
              <w:right w:val="single" w:sz="4"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79</w:t>
            </w:r>
          </w:p>
        </w:tc>
      </w:tr>
      <w:tr w:rsidR="008C13F2" w:rsidRPr="008C13F2" w:rsidTr="00172C41">
        <w:tc>
          <w:tcPr>
            <w:tcW w:w="4608" w:type="dxa"/>
            <w:tcBorders>
              <w:top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Bruttó éves kivetés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tc>
        <w:tc>
          <w:tcPr>
            <w:tcW w:w="1620"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115.104</w:t>
            </w:r>
          </w:p>
        </w:tc>
        <w:tc>
          <w:tcPr>
            <w:tcW w:w="1620"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118.189</w:t>
            </w:r>
          </w:p>
        </w:tc>
      </w:tr>
      <w:tr w:rsidR="008C13F2" w:rsidRPr="008C13F2" w:rsidTr="00172C41">
        <w:tc>
          <w:tcPr>
            <w:tcW w:w="4608" w:type="dxa"/>
            <w:tcBorders>
              <w:top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Befizetett adó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tc>
        <w:tc>
          <w:tcPr>
            <w:tcW w:w="1620"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113.035</w:t>
            </w:r>
          </w:p>
        </w:tc>
        <w:tc>
          <w:tcPr>
            <w:tcW w:w="1620" w:type="dxa"/>
            <w:tcBorders>
              <w:top w:val="single" w:sz="12" w:space="0" w:color="auto"/>
              <w:left w:val="single" w:sz="12" w:space="0" w:color="auto"/>
              <w:bottom w:val="single" w:sz="12" w:space="0" w:color="auto"/>
              <w:right w:val="single" w:sz="12" w:space="0" w:color="auto"/>
            </w:tcBorders>
          </w:tcPr>
          <w:p w:rsidR="008C13F2" w:rsidRPr="008C13F2" w:rsidRDefault="008C13F2" w:rsidP="00172C41">
            <w:pPr>
              <w:tabs>
                <w:tab w:val="right" w:pos="4860"/>
                <w:tab w:val="right" w:pos="6660"/>
              </w:tabs>
              <w:spacing w:after="0" w:line="240" w:lineRule="auto"/>
              <w:jc w:val="right"/>
              <w:rPr>
                <w:rFonts w:ascii="Times New Roman" w:eastAsia="Calibri" w:hAnsi="Times New Roman" w:cs="Times New Roman"/>
                <w:sz w:val="24"/>
                <w:szCs w:val="24"/>
              </w:rPr>
            </w:pPr>
            <w:r w:rsidRPr="008C13F2">
              <w:rPr>
                <w:rFonts w:ascii="Times New Roman" w:eastAsia="Calibri" w:hAnsi="Times New Roman" w:cs="Times New Roman"/>
                <w:sz w:val="24"/>
                <w:szCs w:val="24"/>
              </w:rPr>
              <w:t>120.571</w:t>
            </w:r>
          </w:p>
        </w:tc>
      </w:tr>
    </w:tbl>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u w:val="single"/>
        </w:rPr>
      </w:pPr>
    </w:p>
    <w:p w:rsidR="008C13F2" w:rsidRPr="006B0EE9" w:rsidRDefault="008C13F2" w:rsidP="006B0EE9">
      <w:pPr>
        <w:pStyle w:val="Listaszerbekezds"/>
        <w:numPr>
          <w:ilvl w:val="0"/>
          <w:numId w:val="5"/>
        </w:numPr>
        <w:tabs>
          <w:tab w:val="right" w:pos="5580"/>
          <w:tab w:val="right" w:pos="7560"/>
        </w:tabs>
        <w:spacing w:after="0" w:line="240" w:lineRule="auto"/>
        <w:jc w:val="both"/>
        <w:rPr>
          <w:rFonts w:ascii="Times New Roman" w:eastAsia="Calibri" w:hAnsi="Times New Roman" w:cs="Times New Roman"/>
          <w:b/>
          <w:sz w:val="24"/>
          <w:szCs w:val="24"/>
          <w:u w:val="single"/>
        </w:rPr>
      </w:pPr>
      <w:r w:rsidRPr="006B0EE9">
        <w:rPr>
          <w:rFonts w:ascii="Times New Roman" w:eastAsia="Calibri" w:hAnsi="Times New Roman" w:cs="Times New Roman"/>
          <w:b/>
          <w:sz w:val="24"/>
          <w:szCs w:val="24"/>
          <w:u w:val="single"/>
        </w:rPr>
        <w:t>Termőföld bérbeadásból származó jövedelem utáni SZJA</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Adóztatása az adózás rendjéről szóló törvény és a személyi jövedelemadóról szóló törvény alapján történik, szabályai e beszámolási időszakban nem változtak. Az adó mértéke 2011. évtől nem változott, 16 %.</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földbérbeadásból származó jövedelemadóból az önkormányzatnak bevétele már alig realizálódik, mivel az SZJA törvény 74. § (2) bekezdése alapján mentes az adó alól a termőföld-bérbeadásból származó bevétel, ha a földtulajdonos a haszonbérleti szerződést legalább 5 évre, vagy azt meghaladó időtartamra köti.</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földtulajdonosok élnek ezzel a lehetőséggel, ezáltal az önkormányzat ilyen jellegű adóbevétele évről-évre csökken.</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termőföld bérbeadásból származó jövedelem utáni SZJA:</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2014-ben a bruttó előírás 36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a befizetés 292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2015-ben a bruttó előírás 171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a befizetés 86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b/>
          <w:sz w:val="24"/>
          <w:szCs w:val="24"/>
        </w:rPr>
      </w:pPr>
    </w:p>
    <w:p w:rsidR="008C13F2" w:rsidRPr="006B0EE9" w:rsidRDefault="008C13F2" w:rsidP="006B0EE9">
      <w:pPr>
        <w:pStyle w:val="Listaszerbekezds"/>
        <w:numPr>
          <w:ilvl w:val="0"/>
          <w:numId w:val="5"/>
        </w:numPr>
        <w:tabs>
          <w:tab w:val="right" w:pos="5580"/>
          <w:tab w:val="right" w:pos="7560"/>
        </w:tabs>
        <w:spacing w:after="0" w:line="240" w:lineRule="auto"/>
        <w:jc w:val="both"/>
        <w:rPr>
          <w:rFonts w:ascii="Times New Roman" w:eastAsia="Calibri" w:hAnsi="Times New Roman" w:cs="Times New Roman"/>
          <w:b/>
          <w:sz w:val="24"/>
          <w:szCs w:val="24"/>
          <w:u w:val="single"/>
        </w:rPr>
      </w:pPr>
      <w:r w:rsidRPr="006B0EE9">
        <w:rPr>
          <w:rFonts w:ascii="Times New Roman" w:eastAsia="Calibri" w:hAnsi="Times New Roman" w:cs="Times New Roman"/>
          <w:b/>
          <w:sz w:val="24"/>
          <w:szCs w:val="24"/>
          <w:u w:val="single"/>
        </w:rPr>
        <w:t>Talajterhelési díj</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Talajterhelés díj szabályai az előző időszakhoz képest nem változtak, díjfizetési kötelezett az a kibocsátó, aki a műszakilag rendelkezésre álló közcsatornára nem köt rá, és a helyi vízgazdálkodási hatásági engedélyezés alapján szennyvízelhelyezést alkalmaz. Az adó mértéke 2012. február 1-től 1200,</w:t>
      </w:r>
      <w:proofErr w:type="spellStart"/>
      <w:r w:rsidRPr="008C13F2">
        <w:rPr>
          <w:rFonts w:ascii="Times New Roman" w:eastAsia="Calibri" w:hAnsi="Times New Roman" w:cs="Times New Roman"/>
          <w:sz w:val="24"/>
          <w:szCs w:val="24"/>
        </w:rPr>
        <w:t>-Ft</w:t>
      </w:r>
      <w:proofErr w:type="spellEnd"/>
      <w:r w:rsidRPr="008C13F2">
        <w:rPr>
          <w:rFonts w:ascii="Times New Roman" w:eastAsia="Calibri" w:hAnsi="Times New Roman" w:cs="Times New Roman"/>
          <w:sz w:val="24"/>
          <w:szCs w:val="24"/>
        </w:rPr>
        <w:t>/m³ volt (szorozva a területérzékenységi szorzóval, amely Bonyhád város illetékességi területén 1,5).</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2014. évben bevallást benyújtók száma 49, bruttó előírás 674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befizetésre került 503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2015. évben 36 adózó nyújtott be bevallást, a bruttó előírás 502</w:t>
      </w:r>
      <w:r w:rsidRPr="008C13F2">
        <w:rPr>
          <w:rFonts w:ascii="Times New Roman" w:eastAsia="Calibri" w:hAnsi="Times New Roman" w:cs="Times New Roman"/>
          <w:b/>
          <w:sz w:val="24"/>
          <w:szCs w:val="24"/>
        </w:rPr>
        <w:t xml:space="preserve">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a tényleges befizetés 475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helyi rendelet értelmében az adózók mentességre jogosultak abban az esetben, ha jövedelmi viszonyaik megfelelnek a rendeletben foglaltaknak. Ugyanazok a szabályok érvényesek, mint a magánszemélyek kommunális adójában.</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2014. évben 12 adózó, 2015. évben 6 adózó élt a mentesség lehetőségével, valamint mindkét évben 5-5 esetben méltányossági eljárás alapján mentesítettük az ügyfeleket a talajterhelési díj megfizetése alól.</w:t>
      </w:r>
    </w:p>
    <w:p w:rsidR="009A3B87" w:rsidRDefault="009A3B87" w:rsidP="00172C41">
      <w:pPr>
        <w:tabs>
          <w:tab w:val="right" w:pos="5580"/>
          <w:tab w:val="right" w:pos="7560"/>
        </w:tabs>
        <w:spacing w:after="0" w:line="240" w:lineRule="auto"/>
        <w:jc w:val="both"/>
        <w:rPr>
          <w:rFonts w:ascii="Times New Roman" w:eastAsia="Calibri" w:hAnsi="Times New Roman" w:cs="Times New Roman"/>
          <w:b/>
          <w:sz w:val="24"/>
          <w:szCs w:val="24"/>
          <w:u w:val="single"/>
        </w:rPr>
      </w:pPr>
    </w:p>
    <w:p w:rsidR="008C13F2" w:rsidRPr="009A3B87" w:rsidRDefault="009A3B87" w:rsidP="00172C41">
      <w:pPr>
        <w:tabs>
          <w:tab w:val="right" w:pos="5580"/>
          <w:tab w:val="right" w:pos="7560"/>
        </w:tabs>
        <w:spacing w:after="0" w:line="240" w:lineRule="auto"/>
        <w:jc w:val="both"/>
        <w:rPr>
          <w:rFonts w:ascii="Times New Roman" w:eastAsia="Calibri" w:hAnsi="Times New Roman" w:cs="Times New Roman"/>
          <w:b/>
          <w:sz w:val="28"/>
          <w:szCs w:val="28"/>
        </w:rPr>
      </w:pPr>
      <w:r w:rsidRPr="009A3B87">
        <w:rPr>
          <w:rFonts w:ascii="Times New Roman" w:eastAsia="Calibri" w:hAnsi="Times New Roman" w:cs="Times New Roman"/>
          <w:b/>
          <w:sz w:val="28"/>
          <w:szCs w:val="28"/>
        </w:rPr>
        <w:t xml:space="preserve">III. </w:t>
      </w:r>
      <w:r w:rsidR="008C13F2" w:rsidRPr="009A3B87">
        <w:rPr>
          <w:rFonts w:ascii="Times New Roman" w:eastAsia="Calibri" w:hAnsi="Times New Roman" w:cs="Times New Roman"/>
          <w:b/>
          <w:sz w:val="28"/>
          <w:szCs w:val="28"/>
        </w:rPr>
        <w:t>Egyéb bevételek</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2012. április 15. napjától a szabálysértésekről szóló törvény változása miatt a más szervek által kiszabott, de be nem fizetett szabálysértési és helyszíni bírságokat már nem az önkormányzati adóhatóság hajtja be. </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Ezért a beszámolási időszakban már csak a korábban átadott, el nem évült, meg nem fizetett szabálysértési bírságokból, helyszíni bírságokból keletkezett egyéb bevételünk, amely 100 %-ban az önkormányzat saját bevételét képezi.</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2014. évben az ebből származó bevétel 109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volt, 2015-ben pedig 105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9A3B87" w:rsidRDefault="008C13F2" w:rsidP="009A3B87">
      <w:pPr>
        <w:pStyle w:val="Listaszerbekezds"/>
        <w:numPr>
          <w:ilvl w:val="0"/>
          <w:numId w:val="6"/>
        </w:numPr>
        <w:tabs>
          <w:tab w:val="right" w:pos="5580"/>
          <w:tab w:val="right" w:pos="7560"/>
        </w:tabs>
        <w:spacing w:after="0" w:line="240" w:lineRule="auto"/>
        <w:jc w:val="both"/>
        <w:rPr>
          <w:rFonts w:ascii="Times New Roman" w:eastAsia="Calibri" w:hAnsi="Times New Roman" w:cs="Times New Roman"/>
          <w:b/>
          <w:sz w:val="24"/>
          <w:szCs w:val="24"/>
          <w:u w:val="single"/>
        </w:rPr>
      </w:pPr>
      <w:r w:rsidRPr="009A3B87">
        <w:rPr>
          <w:rFonts w:ascii="Times New Roman" w:eastAsia="Calibri" w:hAnsi="Times New Roman" w:cs="Times New Roman"/>
          <w:b/>
          <w:sz w:val="24"/>
          <w:szCs w:val="24"/>
          <w:u w:val="single"/>
        </w:rPr>
        <w:t>Idegen bevételek</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Az adók módjára behajtandó köztartozások másik csoportjába azok az ügyek tartoznak, amelyek behajtása az önkormányzat feladata, de a beszedett összeg a kimutató szervet illeti meg. Ebbe a körbe tartoznak a más önkormányzatnál nyilvántartott adótartozások, a megelőlegezett gyermektartásdíjak, környezetvédelmi bírságok, erdővédelmi bírságok, munkavédelmi bírságok, vízi társulati érdekeltségi hozzájárulás, hulladékszállítási díjak, igazgatási szolgáltatási díjak, elővezetési költségek stb. és a közigazgatási bírságok is.</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2012. évtől az önkormányzat által beszedett közigazgatási bírságok megosztása 60 - 40 %-ban történik, </w:t>
      </w:r>
      <w:proofErr w:type="gramStart"/>
      <w:r w:rsidRPr="008C13F2">
        <w:rPr>
          <w:rFonts w:ascii="Times New Roman" w:eastAsia="Calibri" w:hAnsi="Times New Roman" w:cs="Times New Roman"/>
          <w:sz w:val="24"/>
          <w:szCs w:val="24"/>
        </w:rPr>
        <w:t>A</w:t>
      </w:r>
      <w:proofErr w:type="gramEnd"/>
      <w:r w:rsidRPr="008C13F2">
        <w:rPr>
          <w:rFonts w:ascii="Times New Roman" w:eastAsia="Calibri" w:hAnsi="Times New Roman" w:cs="Times New Roman"/>
          <w:sz w:val="24"/>
          <w:szCs w:val="24"/>
        </w:rPr>
        <w:t xml:space="preserve"> 40 % az önkormányzatot megillető rész. Ezt az arányt a költségvetésről szóló törvényben határozzák meg.</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2014-ben 296 esetben jártunk el, és összesen 2.858 </w:t>
      </w:r>
      <w:proofErr w:type="spellStart"/>
      <w:r w:rsidRPr="008C13F2">
        <w:rPr>
          <w:rFonts w:ascii="Times New Roman" w:eastAsia="Calibri" w:hAnsi="Times New Roman" w:cs="Times New Roman"/>
          <w:sz w:val="24"/>
          <w:szCs w:val="24"/>
        </w:rPr>
        <w:t>eFt-ot</w:t>
      </w:r>
      <w:proofErr w:type="spellEnd"/>
      <w:r w:rsidRPr="008C13F2">
        <w:rPr>
          <w:rFonts w:ascii="Times New Roman" w:eastAsia="Calibri" w:hAnsi="Times New Roman" w:cs="Times New Roman"/>
          <w:sz w:val="24"/>
          <w:szCs w:val="24"/>
        </w:rPr>
        <w:t xml:space="preserve"> hajtottunk be, amelyből 514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volt a saját bevétel. 2015-ben 214 ügyben jártunk el és 3.716</w:t>
      </w:r>
      <w:r w:rsidRPr="008C13F2">
        <w:rPr>
          <w:rFonts w:ascii="Times New Roman" w:eastAsia="Calibri" w:hAnsi="Times New Roman" w:cs="Times New Roman"/>
          <w:b/>
          <w:sz w:val="24"/>
          <w:szCs w:val="24"/>
        </w:rPr>
        <w:t xml:space="preserve"> </w:t>
      </w:r>
      <w:proofErr w:type="spellStart"/>
      <w:r w:rsidRPr="008C13F2">
        <w:rPr>
          <w:rFonts w:ascii="Times New Roman" w:eastAsia="Calibri" w:hAnsi="Times New Roman" w:cs="Times New Roman"/>
          <w:sz w:val="24"/>
          <w:szCs w:val="24"/>
        </w:rPr>
        <w:t>eFt-ot</w:t>
      </w:r>
      <w:proofErr w:type="spellEnd"/>
      <w:r w:rsidRPr="008C13F2">
        <w:rPr>
          <w:rFonts w:ascii="Times New Roman" w:eastAsia="Calibri" w:hAnsi="Times New Roman" w:cs="Times New Roman"/>
          <w:sz w:val="24"/>
          <w:szCs w:val="24"/>
        </w:rPr>
        <w:t xml:space="preserve"> szedtünk be, ebből 370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volt az önkormányzatot megillető rész.</w:t>
      </w:r>
    </w:p>
    <w:p w:rsidR="008C13F2" w:rsidRPr="008C13F2" w:rsidRDefault="008C13F2" w:rsidP="00172C41">
      <w:pPr>
        <w:tabs>
          <w:tab w:val="right" w:pos="4860"/>
          <w:tab w:val="right" w:pos="6660"/>
        </w:tabs>
        <w:spacing w:after="0" w:line="240" w:lineRule="auto"/>
        <w:jc w:val="both"/>
        <w:rPr>
          <w:rFonts w:ascii="Times New Roman" w:eastAsia="Calibri" w:hAnsi="Times New Roman" w:cs="Times New Roman"/>
          <w:sz w:val="24"/>
          <w:szCs w:val="24"/>
        </w:rPr>
      </w:pPr>
    </w:p>
    <w:p w:rsidR="008C13F2" w:rsidRPr="008C13F2" w:rsidRDefault="008C13F2" w:rsidP="009A3B87">
      <w:pPr>
        <w:pStyle w:val="NormlWeb"/>
        <w:numPr>
          <w:ilvl w:val="0"/>
          <w:numId w:val="6"/>
        </w:numPr>
        <w:spacing w:before="0" w:beforeAutospacing="0" w:after="0" w:afterAutospacing="0"/>
        <w:rPr>
          <w:b/>
          <w:u w:val="single"/>
        </w:rPr>
      </w:pPr>
      <w:r w:rsidRPr="008C13F2">
        <w:rPr>
          <w:b/>
          <w:u w:val="single"/>
        </w:rPr>
        <w:t>Helyi jövedéki adó</w:t>
      </w:r>
    </w:p>
    <w:p w:rsidR="008C13F2" w:rsidRPr="008C13F2" w:rsidRDefault="008C13F2" w:rsidP="00172C41">
      <w:pPr>
        <w:pStyle w:val="NormlWeb"/>
        <w:spacing w:before="0" w:beforeAutospacing="0" w:after="0" w:afterAutospacing="0"/>
        <w:rPr>
          <w:b/>
          <w:u w:val="single"/>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jövedéki adóról és a jövedéki termékek forgalmazásának különös szabályairól szóló 2003. évi CXXVII. törvény értelmében 2015. január 1. napjától adóköteles a magánfőzéssel – a legfeljebb 100 liter űrtartalmú desztilláló berendezéssel – előállított párlat évente legfeljebb 50 liter mennyiségig.</w:t>
      </w: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 </w:t>
      </w:r>
      <w:r w:rsidRPr="008C13F2">
        <w:rPr>
          <w:rFonts w:ascii="Times New Roman" w:eastAsia="Calibri" w:hAnsi="Times New Roman" w:cs="Times New Roman"/>
          <w:bCs/>
          <w:sz w:val="24"/>
          <w:szCs w:val="24"/>
          <w:bdr w:val="none" w:sz="0" w:space="0" w:color="auto" w:frame="1"/>
        </w:rPr>
        <w:t>magánfőzésben előállított párlat adója – függetlenül a főzött mennyiségtől – évi 1000 forint</w:t>
      </w:r>
      <w:r w:rsidRPr="008C13F2">
        <w:rPr>
          <w:rFonts w:ascii="Times New Roman" w:eastAsia="Calibri" w:hAnsi="Times New Roman" w:cs="Times New Roman"/>
          <w:sz w:val="24"/>
          <w:szCs w:val="24"/>
        </w:rPr>
        <w:t>, melyet a magánfőzőnek kell bevallania és megfizetnie.</w:t>
      </w:r>
    </w:p>
    <w:p w:rsidR="008C13F2" w:rsidRPr="008C13F2" w:rsidRDefault="008C13F2" w:rsidP="00172C41">
      <w:pPr>
        <w:pStyle w:val="NormlWeb"/>
        <w:spacing w:before="0" w:beforeAutospacing="0" w:after="0" w:afterAutospacing="0"/>
        <w:jc w:val="both"/>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Az adózót bejelentési kötelezettség terheli a desztilláló berendezés tulajdonszerzéséről 15 napon belül a lakóhelye szerinti önkormányzati adóhatósághoz. Első alkalommal a meglévő berendezésről 2015. 01.15-ig kellett adatot szolgáltatni.</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Bevallás és adófizetés a magánfőzésről a főzés évét követő január 15-ig esedékes.</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2015. évben összesen 20 adózó jelentette be, hogy desztilláló berendezéssel rendelkezik. Erről adatot szolgáltattunk a NAV Tolna Megyei Vám- és Pénzügyőri Igazgatósága Jövedéki Osztályának.</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2015-ben előállított párlatról szóló bevallás határideje 2016.01.15</w:t>
      </w:r>
      <w:proofErr w:type="gramStart"/>
      <w:r w:rsidRPr="008C13F2">
        <w:rPr>
          <w:rFonts w:ascii="Times New Roman" w:eastAsia="Calibri" w:hAnsi="Times New Roman" w:cs="Times New Roman"/>
          <w:sz w:val="24"/>
          <w:szCs w:val="24"/>
        </w:rPr>
        <w:t>.,</w:t>
      </w:r>
      <w:proofErr w:type="gramEnd"/>
      <w:r w:rsidRPr="008C13F2">
        <w:rPr>
          <w:rFonts w:ascii="Times New Roman" w:eastAsia="Calibri" w:hAnsi="Times New Roman" w:cs="Times New Roman"/>
          <w:sz w:val="24"/>
          <w:szCs w:val="24"/>
        </w:rPr>
        <w:t xml:space="preserve"> így az ebből származó bevétel 2016. januárban realizálódik, melynek összege maximum 20 </w:t>
      </w:r>
      <w:proofErr w:type="spellStart"/>
      <w:r w:rsidRPr="008C13F2">
        <w:rPr>
          <w:rFonts w:ascii="Times New Roman" w:eastAsia="Calibri" w:hAnsi="Times New Roman" w:cs="Times New Roman"/>
          <w:sz w:val="24"/>
          <w:szCs w:val="24"/>
        </w:rPr>
        <w:t>eFt</w:t>
      </w:r>
      <w:proofErr w:type="spellEnd"/>
      <w:r w:rsidRPr="008C13F2">
        <w:rPr>
          <w:rFonts w:ascii="Times New Roman" w:eastAsia="Calibri" w:hAnsi="Times New Roman" w:cs="Times New Roman"/>
          <w:sz w:val="24"/>
          <w:szCs w:val="24"/>
        </w:rPr>
        <w:t xml:space="preserve"> lesz.</w:t>
      </w:r>
    </w:p>
    <w:p w:rsidR="008C13F2" w:rsidRPr="008C13F2" w:rsidRDefault="008C13F2" w:rsidP="00172C41">
      <w:pPr>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fenti jogszabály 2015. évi változásának következtében a továbbiakban az önkormányzati adóhatóság kizárólag a desztillálóberendezések bejelentésével és a magánfőzés betartásának ellenőrzésével kapcsolatban jár el, a magánfőzésből származó bevétel (700,</w:t>
      </w:r>
      <w:proofErr w:type="spellStart"/>
      <w:r w:rsidRPr="008C13F2">
        <w:rPr>
          <w:rFonts w:ascii="Times New Roman" w:eastAsia="Calibri" w:hAnsi="Times New Roman" w:cs="Times New Roman"/>
          <w:sz w:val="24"/>
          <w:szCs w:val="24"/>
        </w:rPr>
        <w:t>-Ft</w:t>
      </w:r>
      <w:proofErr w:type="spellEnd"/>
      <w:r w:rsidRPr="008C13F2">
        <w:rPr>
          <w:rFonts w:ascii="Times New Roman" w:eastAsia="Calibri" w:hAnsi="Times New Roman" w:cs="Times New Roman"/>
          <w:sz w:val="24"/>
          <w:szCs w:val="24"/>
        </w:rPr>
        <w:t>/liter) a központi költségvetést illeti meg.</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9A3B87" w:rsidRDefault="008C13F2" w:rsidP="009A3B87">
      <w:pPr>
        <w:pStyle w:val="Listaszerbekezds"/>
        <w:numPr>
          <w:ilvl w:val="0"/>
          <w:numId w:val="6"/>
        </w:numPr>
        <w:tabs>
          <w:tab w:val="right" w:pos="5580"/>
          <w:tab w:val="right" w:pos="7560"/>
        </w:tabs>
        <w:spacing w:after="0" w:line="240" w:lineRule="auto"/>
        <w:jc w:val="both"/>
        <w:rPr>
          <w:rFonts w:ascii="Times New Roman" w:eastAsia="Calibri" w:hAnsi="Times New Roman" w:cs="Times New Roman"/>
          <w:b/>
          <w:sz w:val="24"/>
          <w:szCs w:val="24"/>
          <w:u w:val="single"/>
        </w:rPr>
      </w:pPr>
      <w:r w:rsidRPr="009A3B87">
        <w:rPr>
          <w:rFonts w:ascii="Times New Roman" w:eastAsia="Calibri" w:hAnsi="Times New Roman" w:cs="Times New Roman"/>
          <w:b/>
          <w:sz w:val="24"/>
          <w:szCs w:val="24"/>
          <w:u w:val="single"/>
        </w:rPr>
        <w:t>Egyéb adóigazgatási feladatok</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u w:val="single"/>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2014. évben bonyhádi adóügyekben összesen 2394 határozatot adott ki az adócsoport, fellebbezés nem volt. </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Emellett 43 esetben adtunk ki vagyoni bizonyítványt különböző szervek megkeresésére (APEH, bíróság, rendőrkapitányság). 82 alkalommal készült nemleges adóigazolás, amelyet az adózók elsősorban pályázatok illetve hitelügyintézés céljára kértek. 174 adó- és értékbizonyítvány készült, részben hagyatéki eljáráshoz, részben kérelemre hitelfelvételhez.</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lastRenderedPageBreak/>
        <w:t>2015. évben az adócsoport által hozott határozatok száma 2081 volt. Nem volt fellebbezés.</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Ebben az időszakban 810 vagyoni bizonyítvány, 114 adóigazolás és 232 adó- és értékbizonyítvány kiadására került sor.</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vagyoni bizonyítványok számának jelentős növekedése a szociális ügyek elbírálásának változása miatt következett be. A hatósági osztály megkeresése alapján a szociális támogatást kérőkről – és a velük közös háztartásban élő hozzátartozókról – vagyoni bizonyítványt állítottunk ki.</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2015-ben a Magyar Államkincstár keretein belül felállításra került az Önkormányzati ASP Központ, amelynek feladata az elektronikus közigazgatás kiterjesztése. A jelenleg használt adónyilvántartó programban (ONKADO) tárolt adatok nem minden esetben felelnek meg a hatályos szabályozásoknak, illetve nem teljes körűen rendelkeznek az ASP</w:t>
      </w:r>
      <w:proofErr w:type="gramStart"/>
      <w:r w:rsidRPr="008C13F2">
        <w:rPr>
          <w:rFonts w:ascii="Times New Roman" w:eastAsia="Calibri" w:hAnsi="Times New Roman" w:cs="Times New Roman"/>
          <w:sz w:val="24"/>
          <w:szCs w:val="24"/>
        </w:rPr>
        <w:t>.ADO</w:t>
      </w:r>
      <w:proofErr w:type="gramEnd"/>
      <w:r w:rsidRPr="008C13F2">
        <w:rPr>
          <w:rFonts w:ascii="Times New Roman" w:eastAsia="Calibri" w:hAnsi="Times New Roman" w:cs="Times New Roman"/>
          <w:sz w:val="24"/>
          <w:szCs w:val="24"/>
        </w:rPr>
        <w:t xml:space="preserve"> szakrendszer által megkövetelt elemi adatokkal.</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Ennek keretében 2015. októbertől folyamatosan az adózói törzsadatokban és a bevallásokban adattisztítási tevékenységet végzünk:</w:t>
      </w:r>
    </w:p>
    <w:p w:rsidR="008C13F2" w:rsidRPr="008C13F2" w:rsidRDefault="008C13F2" w:rsidP="00172C41">
      <w:pPr>
        <w:numPr>
          <w:ilvl w:val="0"/>
          <w:numId w:val="4"/>
        </w:num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hiányzó adóazonosító számok pótlása (adatkérés </w:t>
      </w:r>
      <w:proofErr w:type="spellStart"/>
      <w:r w:rsidRPr="008C13F2">
        <w:rPr>
          <w:rFonts w:ascii="Times New Roman" w:eastAsia="Calibri" w:hAnsi="Times New Roman" w:cs="Times New Roman"/>
          <w:sz w:val="24"/>
          <w:szCs w:val="24"/>
        </w:rPr>
        <w:t>NAV-tól</w:t>
      </w:r>
      <w:proofErr w:type="spellEnd"/>
      <w:r w:rsidRPr="008C13F2">
        <w:rPr>
          <w:rFonts w:ascii="Times New Roman" w:eastAsia="Calibri" w:hAnsi="Times New Roman" w:cs="Times New Roman"/>
          <w:sz w:val="24"/>
          <w:szCs w:val="24"/>
        </w:rPr>
        <w:t>)</w:t>
      </w:r>
    </w:p>
    <w:p w:rsidR="008C13F2" w:rsidRPr="008C13F2" w:rsidRDefault="008C13F2" w:rsidP="00172C41">
      <w:pPr>
        <w:numPr>
          <w:ilvl w:val="0"/>
          <w:numId w:val="4"/>
        </w:num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magánszemélyek hiányos személyi adatainak pótlása (KEK KH személyi- és lakcímnyilvántartóból)</w:t>
      </w:r>
    </w:p>
    <w:p w:rsidR="008C13F2" w:rsidRPr="008C13F2" w:rsidRDefault="008C13F2" w:rsidP="00172C41">
      <w:pPr>
        <w:numPr>
          <w:ilvl w:val="0"/>
          <w:numId w:val="4"/>
        </w:num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hiányzó KSH kódok pótlása (egyéni vállalkozók esetében a KEK KH Egyéni vállalkozók nyilvántartásából, társas vállalkozások esetében az Igazságügy Minisztérium Céginformáció rendszeréből)</w:t>
      </w:r>
    </w:p>
    <w:p w:rsidR="008C13F2" w:rsidRPr="008C13F2" w:rsidRDefault="008C13F2" w:rsidP="00172C41">
      <w:pPr>
        <w:numPr>
          <w:ilvl w:val="0"/>
          <w:numId w:val="4"/>
        </w:num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társas vállalkozások hiányzó bankszámla számainak pótlása (Igazságügy Minisztérium Céginformáció rendszeréből)</w:t>
      </w:r>
    </w:p>
    <w:p w:rsidR="008C13F2" w:rsidRPr="008C13F2" w:rsidRDefault="008C13F2" w:rsidP="00172C41">
      <w:pPr>
        <w:tabs>
          <w:tab w:val="right" w:pos="5580"/>
          <w:tab w:val="right" w:pos="7560"/>
        </w:tabs>
        <w:spacing w:after="0" w:line="240" w:lineRule="auto"/>
        <w:ind w:left="720"/>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Minden évben általában a III. negyedévben kerül sor az </w:t>
      </w:r>
      <w:r w:rsidRPr="008C13F2">
        <w:rPr>
          <w:rFonts w:ascii="Times New Roman" w:eastAsia="Calibri" w:hAnsi="Times New Roman" w:cs="Times New Roman"/>
          <w:b/>
          <w:sz w:val="24"/>
          <w:szCs w:val="24"/>
          <w:u w:val="single"/>
        </w:rPr>
        <w:t>adóhátralékok behajtásá</w:t>
      </w:r>
      <w:r w:rsidRPr="008C13F2">
        <w:rPr>
          <w:rFonts w:ascii="Times New Roman" w:eastAsia="Calibri" w:hAnsi="Times New Roman" w:cs="Times New Roman"/>
          <w:sz w:val="24"/>
          <w:szCs w:val="24"/>
        </w:rPr>
        <w:t>ra.</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Az adóhatóság a végrehajtási eljárás során az adózás rendjéről szóló törvény és a végrehajtásról szóló törvény szabályai szerint jár el.</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legtöbb esetben fizetési felhívással, mint a végrehajtási cselekményt bevezető első lépéssel kezdődik az eljárás, ám korábbi tapasztalatok alapján azon adózók esetében, akikre a fizetési felhívás nincs hatással, mellőzzük ezt a lépést, rögtön a végrehajtás valamilyen formáját alkalmazzuk.</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 beszámolási időszakban az adóhátralékok beszedése érdekében az alábbi behajtási cselekményeket alkalmaztuk: </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azonnali beszedési megbízás</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letiltás munkabérből, nyugdíjból</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gépjármű forgalomból kitiltás (egy éven túli gépjárműadó hátralék esetében)</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 gépjárműfoglalás </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végrehajtás időtartamát megnöveli, hogy a munkahelyi adatok és a bankszámlaszámok kiderítése céljából más hatóságoktól (APEH, egészségbiztosítási pénztár) és pénzintézetektől kell adatot kérnünk, amely jelentős adminisztrációval jár, továbbá viszonylag hosszú időt vesz igénybe.</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2014. évben 819 felszólítást küldtünk ki a hátralékosoknak, majd végrehajtási cselekményként az alábbiakat kezdeményeztük: 220 </w:t>
      </w:r>
      <w:proofErr w:type="spellStart"/>
      <w:r w:rsidRPr="008C13F2">
        <w:rPr>
          <w:rFonts w:ascii="Times New Roman" w:eastAsia="Calibri" w:hAnsi="Times New Roman" w:cs="Times New Roman"/>
          <w:sz w:val="24"/>
          <w:szCs w:val="24"/>
        </w:rPr>
        <w:t>incasszót</w:t>
      </w:r>
      <w:proofErr w:type="spellEnd"/>
      <w:r w:rsidRPr="008C13F2">
        <w:rPr>
          <w:rFonts w:ascii="Times New Roman" w:eastAsia="Calibri" w:hAnsi="Times New Roman" w:cs="Times New Roman"/>
          <w:sz w:val="24"/>
          <w:szCs w:val="24"/>
        </w:rPr>
        <w:t xml:space="preserve"> nyújtottunk be az adózók bankszámláira.  A munkabérre illetve nyugdíjra beadott letiltások száma 151 db. 48 esetben éltünk a forgalomból kitiltás lehetőségével és 3 esetben kezdeményeztünk gépjárműfoglalást.</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lastRenderedPageBreak/>
        <w:t>2014. október 15-től december 31-ig a hátralékokat 24.550 e Ft-tal sikerült csökkenteni, ami részben a felszólításainkra reagálva önkéntes befizetésből, részben pedig végrehajtási cselekményből eredt.</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 2015. évben kiküldött 730 felhívást követően 290 db </w:t>
      </w:r>
      <w:proofErr w:type="spellStart"/>
      <w:r w:rsidRPr="008C13F2">
        <w:rPr>
          <w:rFonts w:ascii="Times New Roman" w:eastAsia="Calibri" w:hAnsi="Times New Roman" w:cs="Times New Roman"/>
          <w:sz w:val="24"/>
          <w:szCs w:val="24"/>
        </w:rPr>
        <w:t>incasszót</w:t>
      </w:r>
      <w:proofErr w:type="spellEnd"/>
      <w:r w:rsidRPr="008C13F2">
        <w:rPr>
          <w:rFonts w:ascii="Times New Roman" w:eastAsia="Calibri" w:hAnsi="Times New Roman" w:cs="Times New Roman"/>
          <w:sz w:val="24"/>
          <w:szCs w:val="24"/>
        </w:rPr>
        <w:t xml:space="preserve">, 159 letiltást, 46 forgalomból kitiltást és 1 foglalást kezdeményeztünk. </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2015. október 15. és 2015. december 31. között a behajtási tevékenységünk eredményeként a kinnlevőség 29.268 e Ft-tal csökkent.</w:t>
      </w:r>
    </w:p>
    <w:p w:rsidR="008C13F2" w:rsidRPr="008C13F2" w:rsidRDefault="008C13F2" w:rsidP="00172C41">
      <w:pPr>
        <w:tabs>
          <w:tab w:val="right" w:pos="5580"/>
          <w:tab w:val="right" w:pos="7560"/>
        </w:tabs>
        <w:spacing w:after="0" w:line="240" w:lineRule="auto"/>
        <w:jc w:val="both"/>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Bár egyre több időt és energiát kell befektetni az adótartozások behajtása érdekében, az eljárás sikeressége nagyrészt nem az adóhatóságon múlik. Ahogy az adózói kör anyagi helyzete és fizetőképessége észrevehetően romlott az utóbbi időszakban, úgy válik egyre nehezebbé az adótartozás behajtása. </w:t>
      </w: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A fizetési morál városunkban viszonylag jó, de ebben is tapasztalható kismértékű visszaesés, a hátralékok növekedését azonban leginkább a fizetésképtelenség vagy nehéz anyagi helyzet okozza.</w:t>
      </w: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Az anyagi nehézségek ugyanúgy érintenek magánszemélyeket, mint társas vállalkozásokat. </w:t>
      </w:r>
    </w:p>
    <w:p w:rsidR="008C13F2" w:rsidRPr="008C13F2" w:rsidRDefault="008C13F2" w:rsidP="00172C41">
      <w:pPr>
        <w:spacing w:after="0" w:line="240" w:lineRule="auto"/>
        <w:rPr>
          <w:rFonts w:ascii="Times New Roman" w:eastAsia="Calibri" w:hAnsi="Times New Roman" w:cs="Times New Roman"/>
          <w:sz w:val="24"/>
          <w:szCs w:val="24"/>
        </w:rPr>
      </w:pP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Sajnos a kényszer-végelszámolás és felszámolási eljárás alá kerülő társaságok száma is megugrott az elmúlt években, a hátralékok </w:t>
      </w:r>
      <w:proofErr w:type="gramStart"/>
      <w:r w:rsidRPr="008C13F2">
        <w:rPr>
          <w:rFonts w:ascii="Times New Roman" w:eastAsia="Calibri" w:hAnsi="Times New Roman" w:cs="Times New Roman"/>
          <w:sz w:val="24"/>
          <w:szCs w:val="24"/>
        </w:rPr>
        <w:t>ezen</w:t>
      </w:r>
      <w:proofErr w:type="gramEnd"/>
      <w:r w:rsidRPr="008C13F2">
        <w:rPr>
          <w:rFonts w:ascii="Times New Roman" w:eastAsia="Calibri" w:hAnsi="Times New Roman" w:cs="Times New Roman"/>
          <w:sz w:val="24"/>
          <w:szCs w:val="24"/>
        </w:rPr>
        <w:t xml:space="preserve"> cégek adósságait is tartalmazzák.</w:t>
      </w: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Behajtási cselekményre ilyen esetekben nincs mód, a felszámoló felé bejelentett követeléseink megtérülésére pedig igen kicsi az esély.</w:t>
      </w:r>
    </w:p>
    <w:p w:rsidR="008C13F2" w:rsidRPr="008C13F2" w:rsidRDefault="008C13F2" w:rsidP="00172C41">
      <w:pPr>
        <w:spacing w:after="0" w:line="240" w:lineRule="auto"/>
        <w:jc w:val="both"/>
        <w:rPr>
          <w:rFonts w:ascii="Times New Roman" w:eastAsia="Calibri" w:hAnsi="Times New Roman" w:cs="Times New Roman"/>
          <w:sz w:val="24"/>
          <w:szCs w:val="24"/>
        </w:rPr>
      </w:pPr>
      <w:r w:rsidRPr="008C13F2">
        <w:rPr>
          <w:rFonts w:ascii="Times New Roman" w:eastAsia="Calibri" w:hAnsi="Times New Roman" w:cs="Times New Roman"/>
          <w:sz w:val="24"/>
          <w:szCs w:val="24"/>
        </w:rPr>
        <w:t xml:space="preserve">A felszámolás alatt lévőkön túl vannak adózók, akik a tapasztalatok alapján tartósan fizetésképtelenek, sem önként nem fizetnek, sem a végrehajtások nem vezetnek eredményre. Ide tartoznak azok az adózók is, akik címükön, székhelyükön elérhetetlenek, ismeretlen helyre (vagy magánszemélyek esetében külföldre) költöztek. Vannak vállalkozások, amelyek nem szűntek meg ugyan, de inaktív a vállalkozásuk, semmilyen tevékenységük, bevételük nincs, számláikon pénzmozgás nincs. Adóalanyiságuk és adóhátralékuk ettől függetlenül fennáll. </w:t>
      </w:r>
    </w:p>
    <w:p w:rsidR="008C13F2" w:rsidRDefault="008C13F2" w:rsidP="00172C41">
      <w:pPr>
        <w:tabs>
          <w:tab w:val="right" w:pos="4140"/>
          <w:tab w:val="right" w:pos="6480"/>
        </w:tabs>
        <w:spacing w:after="0" w:line="240" w:lineRule="auto"/>
        <w:jc w:val="both"/>
        <w:rPr>
          <w:rFonts w:ascii="Times New Roman" w:hAnsi="Times New Roman" w:cs="Times New Roman"/>
          <w:b/>
          <w:sz w:val="24"/>
          <w:szCs w:val="24"/>
        </w:rPr>
      </w:pPr>
    </w:p>
    <w:p w:rsidR="008C13F2" w:rsidRPr="008C13F2" w:rsidRDefault="008C13F2" w:rsidP="00172C41">
      <w:pPr>
        <w:tabs>
          <w:tab w:val="right" w:pos="4140"/>
          <w:tab w:val="right" w:pos="6480"/>
        </w:tabs>
        <w:spacing w:after="0" w:line="240" w:lineRule="auto"/>
        <w:jc w:val="both"/>
        <w:rPr>
          <w:rFonts w:ascii="Times New Roman" w:hAnsi="Times New Roman" w:cs="Times New Roman"/>
          <w:b/>
          <w:sz w:val="24"/>
          <w:szCs w:val="24"/>
        </w:rPr>
      </w:pPr>
      <w:r w:rsidRPr="008C13F2">
        <w:rPr>
          <w:rFonts w:ascii="Times New Roman" w:hAnsi="Times New Roman" w:cs="Times New Roman"/>
          <w:b/>
          <w:sz w:val="24"/>
          <w:szCs w:val="24"/>
        </w:rPr>
        <w:t>Tisztelt Képviselő-testület!</w:t>
      </w:r>
    </w:p>
    <w:p w:rsidR="008C13F2" w:rsidRPr="008C13F2" w:rsidRDefault="008C13F2" w:rsidP="00172C41">
      <w:pPr>
        <w:tabs>
          <w:tab w:val="right" w:pos="4140"/>
          <w:tab w:val="right" w:pos="6480"/>
        </w:tabs>
        <w:spacing w:after="0" w:line="240" w:lineRule="auto"/>
        <w:jc w:val="both"/>
        <w:rPr>
          <w:rFonts w:ascii="Times New Roman" w:hAnsi="Times New Roman" w:cs="Times New Roman"/>
          <w:sz w:val="24"/>
          <w:szCs w:val="24"/>
        </w:rPr>
      </w:pPr>
    </w:p>
    <w:p w:rsidR="008C13F2" w:rsidRPr="008C13F2" w:rsidRDefault="008C13F2" w:rsidP="00172C41">
      <w:pPr>
        <w:tabs>
          <w:tab w:val="right" w:pos="4140"/>
          <w:tab w:val="right" w:pos="6480"/>
        </w:tabs>
        <w:spacing w:after="0" w:line="240" w:lineRule="auto"/>
        <w:jc w:val="both"/>
        <w:rPr>
          <w:rFonts w:ascii="Times New Roman" w:hAnsi="Times New Roman" w:cs="Times New Roman"/>
          <w:sz w:val="24"/>
          <w:szCs w:val="24"/>
        </w:rPr>
      </w:pPr>
      <w:r w:rsidRPr="008C13F2">
        <w:rPr>
          <w:rFonts w:ascii="Times New Roman" w:hAnsi="Times New Roman" w:cs="Times New Roman"/>
          <w:sz w:val="24"/>
          <w:szCs w:val="24"/>
        </w:rPr>
        <w:t xml:space="preserve">Kérem, hogy az adóigazgatási feladatok ellátásáról, az adórendeletek áttekintéséről szóló beszámoló megvitatás után elfogadni szíveskedjenek. </w:t>
      </w:r>
    </w:p>
    <w:p w:rsidR="008C13F2" w:rsidRDefault="008C13F2" w:rsidP="00172C41">
      <w:pPr>
        <w:tabs>
          <w:tab w:val="right" w:pos="4860"/>
          <w:tab w:val="right" w:pos="6660"/>
        </w:tabs>
        <w:spacing w:after="0" w:line="240" w:lineRule="auto"/>
        <w:jc w:val="both"/>
        <w:rPr>
          <w:rFonts w:ascii="Times New Roman" w:hAnsi="Times New Roman" w:cs="Times New Roman"/>
          <w:sz w:val="24"/>
          <w:szCs w:val="24"/>
        </w:rPr>
      </w:pPr>
    </w:p>
    <w:p w:rsidR="008C13F2" w:rsidRPr="00263E80" w:rsidRDefault="00263E80" w:rsidP="00172C41">
      <w:pPr>
        <w:tabs>
          <w:tab w:val="right" w:pos="4860"/>
          <w:tab w:val="right" w:pos="6660"/>
        </w:tabs>
        <w:spacing w:after="0" w:line="240" w:lineRule="auto"/>
        <w:jc w:val="both"/>
        <w:rPr>
          <w:rFonts w:ascii="Times New Roman" w:hAnsi="Times New Roman" w:cs="Times New Roman"/>
          <w:b/>
          <w:sz w:val="24"/>
          <w:szCs w:val="24"/>
          <w:u w:val="single"/>
        </w:rPr>
      </w:pPr>
      <w:r w:rsidRPr="00263E80">
        <w:rPr>
          <w:rFonts w:ascii="Times New Roman" w:hAnsi="Times New Roman" w:cs="Times New Roman"/>
          <w:b/>
          <w:sz w:val="24"/>
          <w:szCs w:val="24"/>
          <w:u w:val="single"/>
        </w:rPr>
        <w:t>Határozati javaslat</w:t>
      </w:r>
    </w:p>
    <w:p w:rsidR="008C13F2" w:rsidRPr="008C13F2" w:rsidRDefault="008C13F2" w:rsidP="00172C41">
      <w:pPr>
        <w:tabs>
          <w:tab w:val="right" w:pos="4860"/>
          <w:tab w:val="right" w:pos="6660"/>
        </w:tabs>
        <w:spacing w:after="0" w:line="240" w:lineRule="auto"/>
        <w:jc w:val="both"/>
        <w:rPr>
          <w:rFonts w:ascii="Times New Roman"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hAnsi="Times New Roman" w:cs="Times New Roman"/>
          <w:sz w:val="24"/>
          <w:szCs w:val="24"/>
        </w:rPr>
      </w:pPr>
      <w:r w:rsidRPr="008C13F2">
        <w:rPr>
          <w:rFonts w:ascii="Times New Roman" w:hAnsi="Times New Roman" w:cs="Times New Roman"/>
          <w:sz w:val="24"/>
          <w:szCs w:val="24"/>
        </w:rPr>
        <w:t>Bonyhád Város Önkormányzati Képviselő-testülete az adóigazgatási feladatok ellátásáról, az adórendeletek áttekintéséről szóló beszámolót elfogadja.</w:t>
      </w:r>
    </w:p>
    <w:p w:rsidR="008C13F2" w:rsidRPr="008C13F2" w:rsidRDefault="008C13F2" w:rsidP="00172C41">
      <w:pPr>
        <w:tabs>
          <w:tab w:val="right" w:pos="4860"/>
          <w:tab w:val="right" w:pos="6660"/>
        </w:tabs>
        <w:spacing w:after="0" w:line="240" w:lineRule="auto"/>
        <w:jc w:val="both"/>
        <w:rPr>
          <w:rFonts w:ascii="Times New Roman" w:hAnsi="Times New Roman" w:cs="Times New Roman"/>
          <w:sz w:val="24"/>
          <w:szCs w:val="24"/>
        </w:rPr>
      </w:pPr>
    </w:p>
    <w:p w:rsidR="008C13F2" w:rsidRDefault="008C13F2" w:rsidP="00172C41">
      <w:pPr>
        <w:tabs>
          <w:tab w:val="right" w:pos="4860"/>
          <w:tab w:val="right" w:pos="6660"/>
        </w:tabs>
        <w:spacing w:after="0" w:line="240" w:lineRule="auto"/>
        <w:jc w:val="both"/>
        <w:rPr>
          <w:rFonts w:ascii="Times New Roman" w:hAnsi="Times New Roman" w:cs="Times New Roman"/>
          <w:sz w:val="24"/>
          <w:szCs w:val="24"/>
        </w:rPr>
      </w:pPr>
    </w:p>
    <w:p w:rsidR="008C13F2" w:rsidRPr="008C13F2" w:rsidRDefault="00263E80" w:rsidP="00172C41">
      <w:pPr>
        <w:tabs>
          <w:tab w:val="right" w:pos="4860"/>
          <w:tab w:val="right" w:pos="66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Határidő: -</w:t>
      </w:r>
    </w:p>
    <w:p w:rsidR="008C13F2" w:rsidRPr="008C13F2" w:rsidRDefault="00263E80" w:rsidP="00172C41">
      <w:pPr>
        <w:tabs>
          <w:tab w:val="right" w:pos="4860"/>
          <w:tab w:val="right" w:pos="66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Felelős: -</w:t>
      </w:r>
    </w:p>
    <w:p w:rsidR="008C13F2" w:rsidRPr="008C13F2" w:rsidRDefault="008C13F2" w:rsidP="00172C41">
      <w:pPr>
        <w:tabs>
          <w:tab w:val="right" w:pos="4860"/>
          <w:tab w:val="right" w:pos="6660"/>
        </w:tabs>
        <w:spacing w:after="0" w:line="240" w:lineRule="auto"/>
        <w:jc w:val="both"/>
        <w:rPr>
          <w:rFonts w:ascii="Times New Roman"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hAnsi="Times New Roman" w:cs="Times New Roman"/>
          <w:sz w:val="24"/>
          <w:szCs w:val="24"/>
        </w:rPr>
      </w:pPr>
    </w:p>
    <w:p w:rsidR="008C13F2" w:rsidRPr="008C13F2" w:rsidRDefault="008C13F2" w:rsidP="00172C41">
      <w:pPr>
        <w:tabs>
          <w:tab w:val="right" w:pos="4860"/>
          <w:tab w:val="right" w:pos="6660"/>
        </w:tabs>
        <w:spacing w:after="0" w:line="240" w:lineRule="auto"/>
        <w:jc w:val="both"/>
        <w:rPr>
          <w:rFonts w:ascii="Times New Roman" w:hAnsi="Times New Roman" w:cs="Times New Roman"/>
          <w:sz w:val="24"/>
          <w:szCs w:val="24"/>
        </w:rPr>
      </w:pPr>
      <w:r w:rsidRPr="008C13F2">
        <w:rPr>
          <w:rFonts w:ascii="Times New Roman" w:hAnsi="Times New Roman" w:cs="Times New Roman"/>
          <w:sz w:val="24"/>
          <w:szCs w:val="24"/>
        </w:rPr>
        <w:t xml:space="preserve">Bonyhád, 2016. </w:t>
      </w:r>
      <w:r w:rsidR="00172C41">
        <w:rPr>
          <w:rFonts w:ascii="Times New Roman" w:hAnsi="Times New Roman" w:cs="Times New Roman"/>
          <w:sz w:val="24"/>
          <w:szCs w:val="24"/>
        </w:rPr>
        <w:t>január 21.</w:t>
      </w:r>
    </w:p>
    <w:p w:rsidR="008C13F2" w:rsidRPr="008C13F2" w:rsidRDefault="008C13F2" w:rsidP="00172C41">
      <w:pPr>
        <w:tabs>
          <w:tab w:val="right" w:pos="4860"/>
          <w:tab w:val="right" w:pos="6660"/>
        </w:tabs>
        <w:spacing w:after="0" w:line="240" w:lineRule="auto"/>
        <w:jc w:val="both"/>
        <w:rPr>
          <w:rFonts w:ascii="Times New Roman" w:hAnsi="Times New Roman" w:cs="Times New Roman"/>
          <w:sz w:val="24"/>
          <w:szCs w:val="24"/>
        </w:rPr>
      </w:pPr>
    </w:p>
    <w:p w:rsidR="008C13F2" w:rsidRPr="00686DB2" w:rsidRDefault="008C13F2" w:rsidP="00172C41">
      <w:pPr>
        <w:tabs>
          <w:tab w:val="right" w:pos="4860"/>
          <w:tab w:val="right" w:pos="6660"/>
        </w:tabs>
        <w:spacing w:after="0" w:line="240" w:lineRule="auto"/>
        <w:jc w:val="both"/>
        <w:rPr>
          <w:rFonts w:ascii="Times New Roman" w:hAnsi="Times New Roman" w:cs="Times New Roman"/>
          <w:b/>
          <w:sz w:val="24"/>
          <w:szCs w:val="24"/>
        </w:rPr>
      </w:pPr>
      <w:r w:rsidRPr="008C13F2">
        <w:rPr>
          <w:rFonts w:ascii="Times New Roman" w:hAnsi="Times New Roman" w:cs="Times New Roman"/>
          <w:sz w:val="24"/>
          <w:szCs w:val="24"/>
        </w:rPr>
        <w:tab/>
      </w:r>
      <w:r w:rsidRPr="008C13F2">
        <w:rPr>
          <w:rFonts w:ascii="Times New Roman" w:hAnsi="Times New Roman" w:cs="Times New Roman"/>
          <w:sz w:val="24"/>
          <w:szCs w:val="24"/>
        </w:rPr>
        <w:tab/>
      </w:r>
      <w:r w:rsidRPr="008C13F2">
        <w:rPr>
          <w:rFonts w:ascii="Times New Roman" w:hAnsi="Times New Roman" w:cs="Times New Roman"/>
          <w:sz w:val="24"/>
          <w:szCs w:val="24"/>
        </w:rPr>
        <w:tab/>
      </w:r>
      <w:r w:rsidRPr="008C13F2">
        <w:rPr>
          <w:rFonts w:ascii="Times New Roman" w:hAnsi="Times New Roman" w:cs="Times New Roman"/>
          <w:sz w:val="24"/>
          <w:szCs w:val="24"/>
        </w:rPr>
        <w:tab/>
      </w:r>
      <w:r w:rsidRPr="008C13F2">
        <w:rPr>
          <w:rFonts w:ascii="Times New Roman" w:hAnsi="Times New Roman" w:cs="Times New Roman"/>
          <w:sz w:val="24"/>
          <w:szCs w:val="24"/>
        </w:rPr>
        <w:tab/>
      </w:r>
      <w:r w:rsidRPr="00686DB2">
        <w:rPr>
          <w:rFonts w:ascii="Times New Roman" w:hAnsi="Times New Roman" w:cs="Times New Roman"/>
          <w:b/>
          <w:sz w:val="24"/>
          <w:szCs w:val="24"/>
        </w:rPr>
        <w:tab/>
        <w:t xml:space="preserve">              </w:t>
      </w:r>
      <w:r w:rsidRPr="00686DB2">
        <w:rPr>
          <w:rFonts w:ascii="Times New Roman" w:hAnsi="Times New Roman" w:cs="Times New Roman"/>
          <w:b/>
          <w:sz w:val="24"/>
          <w:szCs w:val="24"/>
        </w:rPr>
        <w:tab/>
      </w:r>
      <w:proofErr w:type="spellStart"/>
      <w:r w:rsidRPr="00686DB2">
        <w:rPr>
          <w:rFonts w:ascii="Times New Roman" w:hAnsi="Times New Roman" w:cs="Times New Roman"/>
          <w:b/>
          <w:sz w:val="24"/>
          <w:szCs w:val="24"/>
        </w:rPr>
        <w:t>Fauszt</w:t>
      </w:r>
      <w:proofErr w:type="spellEnd"/>
      <w:r w:rsidRPr="00686DB2">
        <w:rPr>
          <w:rFonts w:ascii="Times New Roman" w:hAnsi="Times New Roman" w:cs="Times New Roman"/>
          <w:b/>
          <w:sz w:val="24"/>
          <w:szCs w:val="24"/>
        </w:rPr>
        <w:t xml:space="preserve"> Józsefné</w:t>
      </w:r>
    </w:p>
    <w:p w:rsidR="00121456" w:rsidRDefault="008C13F2" w:rsidP="00172C41">
      <w:pPr>
        <w:tabs>
          <w:tab w:val="right" w:pos="4860"/>
          <w:tab w:val="right" w:pos="6660"/>
        </w:tabs>
        <w:spacing w:after="0" w:line="240" w:lineRule="auto"/>
        <w:jc w:val="both"/>
        <w:rPr>
          <w:rFonts w:ascii="Times New Roman" w:hAnsi="Times New Roman" w:cs="Times New Roman"/>
          <w:sz w:val="24"/>
          <w:szCs w:val="24"/>
        </w:rPr>
      </w:pPr>
      <w:r w:rsidRPr="008C13F2">
        <w:rPr>
          <w:rFonts w:ascii="Times New Roman" w:hAnsi="Times New Roman" w:cs="Times New Roman"/>
          <w:sz w:val="24"/>
          <w:szCs w:val="24"/>
        </w:rPr>
        <w:tab/>
      </w:r>
      <w:r w:rsidRPr="008C13F2">
        <w:rPr>
          <w:rFonts w:ascii="Times New Roman" w:hAnsi="Times New Roman" w:cs="Times New Roman"/>
          <w:sz w:val="24"/>
          <w:szCs w:val="24"/>
        </w:rPr>
        <w:tab/>
        <w:t xml:space="preserve">        </w:t>
      </w:r>
      <w:proofErr w:type="gramStart"/>
      <w:r w:rsidRPr="008C13F2">
        <w:rPr>
          <w:rFonts w:ascii="Times New Roman" w:hAnsi="Times New Roman" w:cs="Times New Roman"/>
          <w:sz w:val="24"/>
          <w:szCs w:val="24"/>
        </w:rPr>
        <w:t>pénzügyi</w:t>
      </w:r>
      <w:proofErr w:type="gramEnd"/>
      <w:r w:rsidRPr="008C13F2">
        <w:rPr>
          <w:rFonts w:ascii="Times New Roman" w:hAnsi="Times New Roman" w:cs="Times New Roman"/>
          <w:sz w:val="24"/>
          <w:szCs w:val="24"/>
        </w:rPr>
        <w:t xml:space="preserve"> osztályvezető</w:t>
      </w:r>
      <w:r w:rsidR="00121456">
        <w:rPr>
          <w:rFonts w:ascii="Times New Roman" w:hAnsi="Times New Roman" w:cs="Times New Roman"/>
          <w:sz w:val="24"/>
          <w:szCs w:val="24"/>
        </w:rPr>
        <w:br w:type="page"/>
      </w:r>
    </w:p>
    <w:p w:rsidR="00121456" w:rsidRDefault="00121456" w:rsidP="00172C41">
      <w:pPr>
        <w:spacing w:after="0" w:line="240" w:lineRule="auto"/>
        <w:jc w:val="both"/>
        <w:rPr>
          <w:rFonts w:ascii="Times New Roman" w:hAnsi="Times New Roman" w:cs="Times New Roman"/>
          <w:sz w:val="24"/>
          <w:szCs w:val="24"/>
        </w:rPr>
        <w:sectPr w:rsidR="00121456" w:rsidSect="00360488">
          <w:footerReference w:type="default" r:id="rId10"/>
          <w:pgSz w:w="11906" w:h="16838"/>
          <w:pgMar w:top="1417" w:right="1417" w:bottom="1417" w:left="1417" w:header="708" w:footer="708" w:gutter="0"/>
          <w:cols w:space="708"/>
          <w:docGrid w:linePitch="360"/>
        </w:sectPr>
      </w:pPr>
    </w:p>
    <w:tbl>
      <w:tblPr>
        <w:tblW w:w="12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797"/>
        <w:gridCol w:w="1981"/>
        <w:gridCol w:w="2127"/>
        <w:gridCol w:w="2268"/>
        <w:gridCol w:w="2268"/>
      </w:tblGrid>
      <w:tr w:rsidR="00121456" w:rsidRPr="002B1123" w:rsidTr="00893B13">
        <w:tc>
          <w:tcPr>
            <w:tcW w:w="3797" w:type="dxa"/>
            <w:vMerge w:val="restart"/>
            <w:tcBorders>
              <w:right w:val="single" w:sz="24" w:space="0" w:color="auto"/>
            </w:tcBorders>
          </w:tcPr>
          <w:p w:rsidR="00121456" w:rsidRPr="00836513" w:rsidRDefault="00121456" w:rsidP="00893B13">
            <w:pPr>
              <w:ind w:right="-1256"/>
              <w:jc w:val="center"/>
            </w:pPr>
          </w:p>
        </w:tc>
        <w:tc>
          <w:tcPr>
            <w:tcW w:w="4108" w:type="dxa"/>
            <w:gridSpan w:val="2"/>
            <w:tcBorders>
              <w:top w:val="single" w:sz="24" w:space="0" w:color="auto"/>
              <w:left w:val="single" w:sz="24" w:space="0" w:color="auto"/>
              <w:bottom w:val="single" w:sz="24" w:space="0" w:color="auto"/>
              <w:right w:val="single" w:sz="24" w:space="0" w:color="auto"/>
            </w:tcBorders>
          </w:tcPr>
          <w:p w:rsidR="00121456" w:rsidRPr="002B1123" w:rsidRDefault="00121456" w:rsidP="00893B13">
            <w:pPr>
              <w:jc w:val="center"/>
              <w:rPr>
                <w:b/>
              </w:rPr>
            </w:pPr>
            <w:r w:rsidRPr="002B1123">
              <w:rPr>
                <w:b/>
              </w:rPr>
              <w:t>2014. év</w:t>
            </w:r>
          </w:p>
        </w:tc>
        <w:tc>
          <w:tcPr>
            <w:tcW w:w="4536" w:type="dxa"/>
            <w:gridSpan w:val="2"/>
            <w:tcBorders>
              <w:top w:val="single" w:sz="24" w:space="0" w:color="auto"/>
              <w:left w:val="single" w:sz="24" w:space="0" w:color="auto"/>
              <w:bottom w:val="single" w:sz="24" w:space="0" w:color="auto"/>
              <w:right w:val="single" w:sz="24" w:space="0" w:color="auto"/>
            </w:tcBorders>
          </w:tcPr>
          <w:p w:rsidR="00121456" w:rsidRPr="002B1123" w:rsidRDefault="00121456" w:rsidP="00893B13">
            <w:pPr>
              <w:jc w:val="center"/>
              <w:rPr>
                <w:b/>
              </w:rPr>
            </w:pPr>
            <w:r w:rsidRPr="002B1123">
              <w:rPr>
                <w:b/>
              </w:rPr>
              <w:t>2015. év</w:t>
            </w:r>
          </w:p>
        </w:tc>
      </w:tr>
      <w:tr w:rsidR="00121456" w:rsidRPr="002B1123" w:rsidTr="00893B13">
        <w:tc>
          <w:tcPr>
            <w:tcW w:w="3797" w:type="dxa"/>
            <w:vMerge/>
          </w:tcPr>
          <w:p w:rsidR="00121456" w:rsidRPr="00836513" w:rsidRDefault="00121456" w:rsidP="00893B13">
            <w:pPr>
              <w:jc w:val="center"/>
            </w:pPr>
          </w:p>
        </w:tc>
        <w:tc>
          <w:tcPr>
            <w:tcW w:w="1981" w:type="dxa"/>
            <w:tcBorders>
              <w:top w:val="single" w:sz="24" w:space="0" w:color="auto"/>
            </w:tcBorders>
          </w:tcPr>
          <w:p w:rsidR="00121456" w:rsidRPr="002B1123" w:rsidRDefault="00121456" w:rsidP="00893B13">
            <w:pPr>
              <w:jc w:val="center"/>
              <w:rPr>
                <w:sz w:val="20"/>
                <w:szCs w:val="20"/>
              </w:rPr>
            </w:pPr>
            <w:r w:rsidRPr="002B1123">
              <w:rPr>
                <w:sz w:val="20"/>
                <w:szCs w:val="20"/>
              </w:rPr>
              <w:t>Előirányzat</w:t>
            </w:r>
          </w:p>
        </w:tc>
        <w:tc>
          <w:tcPr>
            <w:tcW w:w="2127" w:type="dxa"/>
            <w:tcBorders>
              <w:top w:val="single" w:sz="24" w:space="0" w:color="auto"/>
            </w:tcBorders>
          </w:tcPr>
          <w:p w:rsidR="00121456" w:rsidRPr="002B1123" w:rsidRDefault="00121456" w:rsidP="00893B13">
            <w:pPr>
              <w:jc w:val="center"/>
              <w:rPr>
                <w:sz w:val="20"/>
                <w:szCs w:val="20"/>
              </w:rPr>
            </w:pPr>
            <w:r w:rsidRPr="002B1123">
              <w:rPr>
                <w:sz w:val="20"/>
                <w:szCs w:val="20"/>
              </w:rPr>
              <w:t>Teljesített bevétel</w:t>
            </w:r>
          </w:p>
        </w:tc>
        <w:tc>
          <w:tcPr>
            <w:tcW w:w="2268" w:type="dxa"/>
            <w:tcBorders>
              <w:top w:val="single" w:sz="24" w:space="0" w:color="auto"/>
            </w:tcBorders>
          </w:tcPr>
          <w:p w:rsidR="00121456" w:rsidRPr="002B1123" w:rsidRDefault="00121456" w:rsidP="00893B13">
            <w:pPr>
              <w:jc w:val="center"/>
              <w:rPr>
                <w:sz w:val="20"/>
                <w:szCs w:val="20"/>
              </w:rPr>
            </w:pPr>
            <w:r w:rsidRPr="002B1123">
              <w:rPr>
                <w:sz w:val="20"/>
                <w:szCs w:val="20"/>
              </w:rPr>
              <w:t>Előirányzat</w:t>
            </w:r>
          </w:p>
        </w:tc>
        <w:tc>
          <w:tcPr>
            <w:tcW w:w="2268" w:type="dxa"/>
            <w:tcBorders>
              <w:top w:val="single" w:sz="24" w:space="0" w:color="auto"/>
            </w:tcBorders>
          </w:tcPr>
          <w:p w:rsidR="00121456" w:rsidRPr="002B1123" w:rsidRDefault="00121456" w:rsidP="00893B13">
            <w:pPr>
              <w:jc w:val="center"/>
              <w:rPr>
                <w:sz w:val="20"/>
                <w:szCs w:val="20"/>
              </w:rPr>
            </w:pPr>
            <w:r w:rsidRPr="002B1123">
              <w:rPr>
                <w:sz w:val="20"/>
                <w:szCs w:val="20"/>
              </w:rPr>
              <w:t>Teljesített bevétel</w:t>
            </w:r>
          </w:p>
        </w:tc>
      </w:tr>
      <w:tr w:rsidR="00121456" w:rsidTr="00893B13">
        <w:trPr>
          <w:trHeight w:val="454"/>
        </w:trPr>
        <w:tc>
          <w:tcPr>
            <w:tcW w:w="3797" w:type="dxa"/>
          </w:tcPr>
          <w:p w:rsidR="00121456" w:rsidRPr="00836513" w:rsidRDefault="00121456" w:rsidP="00893B13">
            <w:r w:rsidRPr="00836513">
              <w:t>Magánszemélyek kommunális adója</w:t>
            </w:r>
          </w:p>
        </w:tc>
        <w:tc>
          <w:tcPr>
            <w:tcW w:w="1981" w:type="dxa"/>
          </w:tcPr>
          <w:p w:rsidR="00121456" w:rsidRDefault="00121456" w:rsidP="00893B13">
            <w:pPr>
              <w:jc w:val="right"/>
            </w:pPr>
            <w:r>
              <w:t>56.600</w:t>
            </w:r>
          </w:p>
        </w:tc>
        <w:tc>
          <w:tcPr>
            <w:tcW w:w="2127" w:type="dxa"/>
          </w:tcPr>
          <w:p w:rsidR="00121456" w:rsidRDefault="00121456" w:rsidP="00893B13">
            <w:pPr>
              <w:jc w:val="right"/>
            </w:pPr>
            <w:r>
              <w:t>55.888</w:t>
            </w:r>
          </w:p>
        </w:tc>
        <w:tc>
          <w:tcPr>
            <w:tcW w:w="2268" w:type="dxa"/>
          </w:tcPr>
          <w:p w:rsidR="00121456" w:rsidRDefault="00121456" w:rsidP="00893B13">
            <w:pPr>
              <w:jc w:val="right"/>
            </w:pPr>
            <w:r>
              <w:t>56.000</w:t>
            </w:r>
          </w:p>
        </w:tc>
        <w:tc>
          <w:tcPr>
            <w:tcW w:w="2268" w:type="dxa"/>
          </w:tcPr>
          <w:p w:rsidR="00121456" w:rsidRDefault="00121456" w:rsidP="00893B13">
            <w:pPr>
              <w:jc w:val="right"/>
            </w:pPr>
            <w:r>
              <w:t>55.677</w:t>
            </w:r>
          </w:p>
        </w:tc>
      </w:tr>
      <w:tr w:rsidR="00121456" w:rsidTr="00893B13">
        <w:trPr>
          <w:trHeight w:val="454"/>
        </w:trPr>
        <w:tc>
          <w:tcPr>
            <w:tcW w:w="3797" w:type="dxa"/>
          </w:tcPr>
          <w:p w:rsidR="00121456" w:rsidRPr="00836513" w:rsidRDefault="00121456" w:rsidP="00893B13">
            <w:r w:rsidRPr="00836513">
              <w:t>Idegenforgalmi adó</w:t>
            </w:r>
          </w:p>
        </w:tc>
        <w:tc>
          <w:tcPr>
            <w:tcW w:w="1981" w:type="dxa"/>
          </w:tcPr>
          <w:p w:rsidR="00121456" w:rsidRDefault="00121456" w:rsidP="00893B13">
            <w:pPr>
              <w:jc w:val="right"/>
            </w:pPr>
            <w:r>
              <w:t xml:space="preserve">  500</w:t>
            </w:r>
          </w:p>
        </w:tc>
        <w:tc>
          <w:tcPr>
            <w:tcW w:w="2127" w:type="dxa"/>
          </w:tcPr>
          <w:p w:rsidR="00121456" w:rsidRDefault="00121456" w:rsidP="00893B13">
            <w:pPr>
              <w:jc w:val="right"/>
            </w:pPr>
            <w:r>
              <w:t xml:space="preserve">  449</w:t>
            </w:r>
          </w:p>
        </w:tc>
        <w:tc>
          <w:tcPr>
            <w:tcW w:w="2268" w:type="dxa"/>
          </w:tcPr>
          <w:p w:rsidR="00121456" w:rsidRDefault="00121456" w:rsidP="00893B13">
            <w:pPr>
              <w:jc w:val="right"/>
            </w:pPr>
            <w:r>
              <w:t xml:space="preserve">  500</w:t>
            </w:r>
          </w:p>
        </w:tc>
        <w:tc>
          <w:tcPr>
            <w:tcW w:w="2268" w:type="dxa"/>
          </w:tcPr>
          <w:p w:rsidR="00121456" w:rsidRDefault="00121456" w:rsidP="00893B13">
            <w:pPr>
              <w:jc w:val="right"/>
            </w:pPr>
            <w:r>
              <w:t xml:space="preserve">  420</w:t>
            </w:r>
          </w:p>
        </w:tc>
      </w:tr>
      <w:tr w:rsidR="00121456" w:rsidTr="00893B13">
        <w:trPr>
          <w:trHeight w:val="454"/>
        </w:trPr>
        <w:tc>
          <w:tcPr>
            <w:tcW w:w="3797" w:type="dxa"/>
          </w:tcPr>
          <w:p w:rsidR="00121456" w:rsidRPr="00836513" w:rsidRDefault="00121456" w:rsidP="00893B13">
            <w:r w:rsidRPr="00836513">
              <w:t>Helyi iparűzési adó</w:t>
            </w:r>
          </w:p>
        </w:tc>
        <w:tc>
          <w:tcPr>
            <w:tcW w:w="1981" w:type="dxa"/>
          </w:tcPr>
          <w:p w:rsidR="00121456" w:rsidRDefault="00121456" w:rsidP="00893B13">
            <w:pPr>
              <w:jc w:val="right"/>
            </w:pPr>
            <w:r>
              <w:t>359.500</w:t>
            </w:r>
          </w:p>
        </w:tc>
        <w:tc>
          <w:tcPr>
            <w:tcW w:w="2127" w:type="dxa"/>
          </w:tcPr>
          <w:p w:rsidR="00121456" w:rsidRDefault="00121456" w:rsidP="00893B13">
            <w:pPr>
              <w:jc w:val="right"/>
            </w:pPr>
            <w:r>
              <w:t>379.340</w:t>
            </w:r>
          </w:p>
        </w:tc>
        <w:tc>
          <w:tcPr>
            <w:tcW w:w="2268" w:type="dxa"/>
          </w:tcPr>
          <w:p w:rsidR="00121456" w:rsidRDefault="00121456" w:rsidP="00893B13">
            <w:pPr>
              <w:jc w:val="right"/>
            </w:pPr>
            <w:r>
              <w:t>370.000</w:t>
            </w:r>
          </w:p>
        </w:tc>
        <w:tc>
          <w:tcPr>
            <w:tcW w:w="2268" w:type="dxa"/>
          </w:tcPr>
          <w:p w:rsidR="00121456" w:rsidRDefault="00121456" w:rsidP="00893B13">
            <w:pPr>
              <w:jc w:val="right"/>
            </w:pPr>
            <w:r>
              <w:t>465.298</w:t>
            </w:r>
          </w:p>
        </w:tc>
      </w:tr>
      <w:tr w:rsidR="00121456" w:rsidRPr="002B1123" w:rsidTr="00893B13">
        <w:trPr>
          <w:trHeight w:val="454"/>
        </w:trPr>
        <w:tc>
          <w:tcPr>
            <w:tcW w:w="3797" w:type="dxa"/>
            <w:tcBorders>
              <w:top w:val="single" w:sz="24" w:space="0" w:color="auto"/>
              <w:left w:val="single" w:sz="24" w:space="0" w:color="auto"/>
              <w:bottom w:val="single" w:sz="24" w:space="0" w:color="auto"/>
              <w:right w:val="single" w:sz="24" w:space="0" w:color="auto"/>
            </w:tcBorders>
          </w:tcPr>
          <w:p w:rsidR="00121456" w:rsidRPr="002B1123" w:rsidRDefault="00121456" w:rsidP="00893B13">
            <w:pPr>
              <w:rPr>
                <w:b/>
              </w:rPr>
            </w:pPr>
            <w:r w:rsidRPr="002B1123">
              <w:rPr>
                <w:b/>
              </w:rPr>
              <w:t>Helyi adók összesen</w:t>
            </w:r>
          </w:p>
        </w:tc>
        <w:tc>
          <w:tcPr>
            <w:tcW w:w="1981" w:type="dxa"/>
            <w:tcBorders>
              <w:top w:val="single" w:sz="24" w:space="0" w:color="auto"/>
              <w:left w:val="single" w:sz="24" w:space="0" w:color="auto"/>
              <w:bottom w:val="single" w:sz="24" w:space="0" w:color="auto"/>
              <w:right w:val="single" w:sz="24" w:space="0" w:color="auto"/>
            </w:tcBorders>
          </w:tcPr>
          <w:p w:rsidR="00121456" w:rsidRPr="002B1123" w:rsidRDefault="00121456" w:rsidP="00893B13">
            <w:pPr>
              <w:jc w:val="right"/>
              <w:rPr>
                <w:b/>
              </w:rPr>
            </w:pPr>
            <w:r w:rsidRPr="002B1123">
              <w:rPr>
                <w:b/>
              </w:rPr>
              <w:t>416.600</w:t>
            </w:r>
          </w:p>
        </w:tc>
        <w:tc>
          <w:tcPr>
            <w:tcW w:w="2127" w:type="dxa"/>
            <w:tcBorders>
              <w:top w:val="single" w:sz="24" w:space="0" w:color="auto"/>
              <w:left w:val="single" w:sz="24" w:space="0" w:color="auto"/>
              <w:bottom w:val="single" w:sz="24" w:space="0" w:color="auto"/>
              <w:right w:val="single" w:sz="24" w:space="0" w:color="auto"/>
            </w:tcBorders>
          </w:tcPr>
          <w:p w:rsidR="00121456" w:rsidRPr="002B1123" w:rsidRDefault="00121456" w:rsidP="00893B13">
            <w:pPr>
              <w:jc w:val="right"/>
              <w:rPr>
                <w:b/>
              </w:rPr>
            </w:pPr>
            <w:r w:rsidRPr="002B1123">
              <w:rPr>
                <w:b/>
              </w:rPr>
              <w:t>435.677</w:t>
            </w:r>
          </w:p>
        </w:tc>
        <w:tc>
          <w:tcPr>
            <w:tcW w:w="2268" w:type="dxa"/>
            <w:tcBorders>
              <w:top w:val="single" w:sz="24" w:space="0" w:color="auto"/>
              <w:left w:val="single" w:sz="24" w:space="0" w:color="auto"/>
              <w:bottom w:val="single" w:sz="24" w:space="0" w:color="auto"/>
              <w:right w:val="single" w:sz="24" w:space="0" w:color="auto"/>
            </w:tcBorders>
          </w:tcPr>
          <w:p w:rsidR="00121456" w:rsidRPr="002B1123" w:rsidRDefault="00121456" w:rsidP="00893B13">
            <w:pPr>
              <w:jc w:val="right"/>
              <w:rPr>
                <w:b/>
              </w:rPr>
            </w:pPr>
            <w:r w:rsidRPr="002B1123">
              <w:rPr>
                <w:b/>
              </w:rPr>
              <w:t>426.500</w:t>
            </w:r>
          </w:p>
        </w:tc>
        <w:tc>
          <w:tcPr>
            <w:tcW w:w="2268" w:type="dxa"/>
            <w:tcBorders>
              <w:top w:val="single" w:sz="24" w:space="0" w:color="auto"/>
              <w:left w:val="single" w:sz="24" w:space="0" w:color="auto"/>
              <w:bottom w:val="single" w:sz="24" w:space="0" w:color="auto"/>
              <w:right w:val="single" w:sz="24" w:space="0" w:color="auto"/>
            </w:tcBorders>
          </w:tcPr>
          <w:p w:rsidR="00121456" w:rsidRPr="002B1123" w:rsidRDefault="00121456" w:rsidP="00893B13">
            <w:pPr>
              <w:jc w:val="right"/>
              <w:rPr>
                <w:b/>
              </w:rPr>
            </w:pPr>
            <w:r w:rsidRPr="002B1123">
              <w:rPr>
                <w:b/>
              </w:rPr>
              <w:t>521.395</w:t>
            </w:r>
          </w:p>
        </w:tc>
      </w:tr>
      <w:tr w:rsidR="00121456" w:rsidTr="00893B13">
        <w:trPr>
          <w:trHeight w:val="454"/>
        </w:trPr>
        <w:tc>
          <w:tcPr>
            <w:tcW w:w="3797" w:type="dxa"/>
            <w:tcBorders>
              <w:top w:val="single" w:sz="24" w:space="0" w:color="auto"/>
            </w:tcBorders>
          </w:tcPr>
          <w:p w:rsidR="00121456" w:rsidRPr="00836513" w:rsidRDefault="00121456" w:rsidP="00893B13">
            <w:r w:rsidRPr="00836513">
              <w:t>Gépjárműadó</w:t>
            </w:r>
          </w:p>
        </w:tc>
        <w:tc>
          <w:tcPr>
            <w:tcW w:w="1981" w:type="dxa"/>
            <w:tcBorders>
              <w:top w:val="single" w:sz="24" w:space="0" w:color="auto"/>
            </w:tcBorders>
          </w:tcPr>
          <w:p w:rsidR="00121456" w:rsidRDefault="00121456" w:rsidP="00893B13">
            <w:pPr>
              <w:jc w:val="right"/>
            </w:pPr>
            <w:r>
              <w:t xml:space="preserve"> 45.100</w:t>
            </w:r>
          </w:p>
        </w:tc>
        <w:tc>
          <w:tcPr>
            <w:tcW w:w="2127" w:type="dxa"/>
            <w:tcBorders>
              <w:top w:val="single" w:sz="24" w:space="0" w:color="auto"/>
            </w:tcBorders>
          </w:tcPr>
          <w:p w:rsidR="00121456" w:rsidRDefault="00121456" w:rsidP="00893B13">
            <w:pPr>
              <w:jc w:val="right"/>
            </w:pPr>
            <w:r>
              <w:t xml:space="preserve"> 45.214</w:t>
            </w:r>
          </w:p>
        </w:tc>
        <w:tc>
          <w:tcPr>
            <w:tcW w:w="2268" w:type="dxa"/>
            <w:tcBorders>
              <w:top w:val="single" w:sz="24" w:space="0" w:color="auto"/>
            </w:tcBorders>
          </w:tcPr>
          <w:p w:rsidR="00121456" w:rsidRDefault="00121456" w:rsidP="00893B13">
            <w:pPr>
              <w:jc w:val="right"/>
            </w:pPr>
            <w:r>
              <w:t xml:space="preserve"> 45.000</w:t>
            </w:r>
          </w:p>
        </w:tc>
        <w:tc>
          <w:tcPr>
            <w:tcW w:w="2268" w:type="dxa"/>
            <w:tcBorders>
              <w:top w:val="single" w:sz="24" w:space="0" w:color="auto"/>
            </w:tcBorders>
          </w:tcPr>
          <w:p w:rsidR="00121456" w:rsidRDefault="00121456" w:rsidP="00893B13">
            <w:pPr>
              <w:jc w:val="right"/>
            </w:pPr>
            <w:r>
              <w:t xml:space="preserve"> 48.228</w:t>
            </w:r>
          </w:p>
        </w:tc>
      </w:tr>
      <w:tr w:rsidR="00121456" w:rsidTr="00893B13">
        <w:trPr>
          <w:trHeight w:val="454"/>
        </w:trPr>
        <w:tc>
          <w:tcPr>
            <w:tcW w:w="3797" w:type="dxa"/>
          </w:tcPr>
          <w:p w:rsidR="00121456" w:rsidRPr="00836513" w:rsidRDefault="00121456" w:rsidP="00893B13">
            <w:r w:rsidRPr="00836513">
              <w:t>Termőföld utáni SZJA</w:t>
            </w:r>
          </w:p>
        </w:tc>
        <w:tc>
          <w:tcPr>
            <w:tcW w:w="1981" w:type="dxa"/>
          </w:tcPr>
          <w:p w:rsidR="00121456" w:rsidRDefault="00121456" w:rsidP="00893B13">
            <w:pPr>
              <w:jc w:val="right"/>
            </w:pPr>
            <w:r>
              <w:t xml:space="preserve">  0</w:t>
            </w:r>
          </w:p>
        </w:tc>
        <w:tc>
          <w:tcPr>
            <w:tcW w:w="2127" w:type="dxa"/>
          </w:tcPr>
          <w:p w:rsidR="00121456" w:rsidRDefault="00121456" w:rsidP="00893B13">
            <w:pPr>
              <w:jc w:val="right"/>
            </w:pPr>
            <w:r>
              <w:t>292</w:t>
            </w:r>
          </w:p>
        </w:tc>
        <w:tc>
          <w:tcPr>
            <w:tcW w:w="2268" w:type="dxa"/>
          </w:tcPr>
          <w:p w:rsidR="00121456" w:rsidRDefault="00121456" w:rsidP="00893B13">
            <w:pPr>
              <w:jc w:val="right"/>
            </w:pPr>
            <w:r>
              <w:t>300</w:t>
            </w:r>
          </w:p>
        </w:tc>
        <w:tc>
          <w:tcPr>
            <w:tcW w:w="2268" w:type="dxa"/>
          </w:tcPr>
          <w:p w:rsidR="00121456" w:rsidRDefault="00121456" w:rsidP="00893B13">
            <w:pPr>
              <w:jc w:val="right"/>
            </w:pPr>
            <w:r>
              <w:t xml:space="preserve"> 86</w:t>
            </w:r>
          </w:p>
        </w:tc>
      </w:tr>
      <w:tr w:rsidR="00121456" w:rsidTr="00893B13">
        <w:trPr>
          <w:trHeight w:val="454"/>
        </w:trPr>
        <w:tc>
          <w:tcPr>
            <w:tcW w:w="3797" w:type="dxa"/>
          </w:tcPr>
          <w:p w:rsidR="00121456" w:rsidRPr="00836513" w:rsidRDefault="00121456" w:rsidP="00893B13">
            <w:r w:rsidRPr="00836513">
              <w:t>Talajterhelési díj</w:t>
            </w:r>
          </w:p>
        </w:tc>
        <w:tc>
          <w:tcPr>
            <w:tcW w:w="1981" w:type="dxa"/>
          </w:tcPr>
          <w:p w:rsidR="00121456" w:rsidRDefault="00121456" w:rsidP="00893B13">
            <w:pPr>
              <w:jc w:val="right"/>
            </w:pPr>
            <w:r>
              <w:t xml:space="preserve">  1.000</w:t>
            </w:r>
          </w:p>
        </w:tc>
        <w:tc>
          <w:tcPr>
            <w:tcW w:w="2127" w:type="dxa"/>
          </w:tcPr>
          <w:p w:rsidR="00121456" w:rsidRDefault="00121456" w:rsidP="00893B13">
            <w:pPr>
              <w:jc w:val="right"/>
            </w:pPr>
            <w:r>
              <w:t xml:space="preserve">  503</w:t>
            </w:r>
          </w:p>
        </w:tc>
        <w:tc>
          <w:tcPr>
            <w:tcW w:w="2268" w:type="dxa"/>
          </w:tcPr>
          <w:p w:rsidR="00121456" w:rsidRDefault="00121456" w:rsidP="00893B13">
            <w:pPr>
              <w:jc w:val="right"/>
            </w:pPr>
            <w:r>
              <w:t xml:space="preserve">  400</w:t>
            </w:r>
          </w:p>
        </w:tc>
        <w:tc>
          <w:tcPr>
            <w:tcW w:w="2268" w:type="dxa"/>
          </w:tcPr>
          <w:p w:rsidR="00121456" w:rsidRDefault="00121456" w:rsidP="00893B13">
            <w:pPr>
              <w:jc w:val="right"/>
            </w:pPr>
            <w:r>
              <w:t xml:space="preserve">  475</w:t>
            </w:r>
          </w:p>
        </w:tc>
      </w:tr>
      <w:tr w:rsidR="00121456" w:rsidTr="00893B13">
        <w:trPr>
          <w:trHeight w:val="454"/>
        </w:trPr>
        <w:tc>
          <w:tcPr>
            <w:tcW w:w="3797" w:type="dxa"/>
            <w:tcBorders>
              <w:bottom w:val="single" w:sz="24" w:space="0" w:color="auto"/>
            </w:tcBorders>
          </w:tcPr>
          <w:p w:rsidR="00121456" w:rsidRPr="00836513" w:rsidRDefault="00121456" w:rsidP="00893B13">
            <w:r w:rsidRPr="00836513">
              <w:t>Egyéb bevétel</w:t>
            </w:r>
          </w:p>
        </w:tc>
        <w:tc>
          <w:tcPr>
            <w:tcW w:w="1981" w:type="dxa"/>
            <w:tcBorders>
              <w:bottom w:val="single" w:sz="24" w:space="0" w:color="auto"/>
            </w:tcBorders>
          </w:tcPr>
          <w:p w:rsidR="00121456" w:rsidRDefault="00121456" w:rsidP="00893B13">
            <w:pPr>
              <w:jc w:val="right"/>
            </w:pPr>
            <w:r>
              <w:t>2.000</w:t>
            </w:r>
          </w:p>
        </w:tc>
        <w:tc>
          <w:tcPr>
            <w:tcW w:w="2127" w:type="dxa"/>
            <w:tcBorders>
              <w:bottom w:val="single" w:sz="24" w:space="0" w:color="auto"/>
            </w:tcBorders>
          </w:tcPr>
          <w:p w:rsidR="00121456" w:rsidRDefault="00121456" w:rsidP="00893B13">
            <w:pPr>
              <w:jc w:val="right"/>
            </w:pPr>
            <w:r>
              <w:t xml:space="preserve"> 2249</w:t>
            </w:r>
          </w:p>
        </w:tc>
        <w:tc>
          <w:tcPr>
            <w:tcW w:w="2268" w:type="dxa"/>
            <w:tcBorders>
              <w:bottom w:val="single" w:sz="24" w:space="0" w:color="auto"/>
            </w:tcBorders>
          </w:tcPr>
          <w:p w:rsidR="00121456" w:rsidRDefault="00121456" w:rsidP="00893B13">
            <w:pPr>
              <w:jc w:val="right"/>
            </w:pPr>
            <w:r>
              <w:t>2.200</w:t>
            </w:r>
          </w:p>
        </w:tc>
        <w:tc>
          <w:tcPr>
            <w:tcW w:w="2268" w:type="dxa"/>
            <w:tcBorders>
              <w:bottom w:val="single" w:sz="24" w:space="0" w:color="auto"/>
            </w:tcBorders>
          </w:tcPr>
          <w:p w:rsidR="00121456" w:rsidRDefault="00121456" w:rsidP="00893B13">
            <w:pPr>
              <w:jc w:val="right"/>
            </w:pPr>
            <w:r>
              <w:t xml:space="preserve">  1808</w:t>
            </w:r>
          </w:p>
        </w:tc>
      </w:tr>
      <w:tr w:rsidR="00121456" w:rsidRPr="002B1123" w:rsidTr="00893B13">
        <w:trPr>
          <w:trHeight w:val="454"/>
        </w:trPr>
        <w:tc>
          <w:tcPr>
            <w:tcW w:w="3797" w:type="dxa"/>
            <w:tcBorders>
              <w:top w:val="single" w:sz="24" w:space="0" w:color="auto"/>
              <w:left w:val="single" w:sz="24" w:space="0" w:color="auto"/>
              <w:bottom w:val="single" w:sz="24" w:space="0" w:color="auto"/>
              <w:right w:val="single" w:sz="24" w:space="0" w:color="auto"/>
            </w:tcBorders>
          </w:tcPr>
          <w:p w:rsidR="00121456" w:rsidRPr="002B1123" w:rsidRDefault="00121456" w:rsidP="00893B13">
            <w:pPr>
              <w:rPr>
                <w:b/>
              </w:rPr>
            </w:pPr>
            <w:r w:rsidRPr="002B1123">
              <w:rPr>
                <w:b/>
              </w:rPr>
              <w:t>Mindösszesen</w:t>
            </w:r>
          </w:p>
        </w:tc>
        <w:tc>
          <w:tcPr>
            <w:tcW w:w="1981" w:type="dxa"/>
            <w:tcBorders>
              <w:top w:val="single" w:sz="24" w:space="0" w:color="auto"/>
              <w:left w:val="single" w:sz="24" w:space="0" w:color="auto"/>
              <w:bottom w:val="single" w:sz="24" w:space="0" w:color="auto"/>
              <w:right w:val="single" w:sz="24" w:space="0" w:color="auto"/>
            </w:tcBorders>
          </w:tcPr>
          <w:p w:rsidR="00121456" w:rsidRPr="002B1123" w:rsidRDefault="00121456" w:rsidP="00893B13">
            <w:pPr>
              <w:jc w:val="right"/>
              <w:rPr>
                <w:b/>
              </w:rPr>
            </w:pPr>
            <w:r w:rsidRPr="002B1123">
              <w:rPr>
                <w:b/>
              </w:rPr>
              <w:t>464.700</w:t>
            </w:r>
          </w:p>
        </w:tc>
        <w:tc>
          <w:tcPr>
            <w:tcW w:w="2127" w:type="dxa"/>
            <w:tcBorders>
              <w:top w:val="single" w:sz="24" w:space="0" w:color="auto"/>
              <w:left w:val="single" w:sz="24" w:space="0" w:color="auto"/>
              <w:bottom w:val="single" w:sz="24" w:space="0" w:color="auto"/>
              <w:right w:val="single" w:sz="24" w:space="0" w:color="auto"/>
            </w:tcBorders>
          </w:tcPr>
          <w:p w:rsidR="00121456" w:rsidRPr="002B1123" w:rsidRDefault="00121456" w:rsidP="00893B13">
            <w:pPr>
              <w:jc w:val="right"/>
              <w:rPr>
                <w:b/>
              </w:rPr>
            </w:pPr>
            <w:r w:rsidRPr="002B1123">
              <w:rPr>
                <w:b/>
              </w:rPr>
              <w:t>483.935</w:t>
            </w:r>
          </w:p>
        </w:tc>
        <w:tc>
          <w:tcPr>
            <w:tcW w:w="2268" w:type="dxa"/>
            <w:tcBorders>
              <w:top w:val="single" w:sz="24" w:space="0" w:color="auto"/>
              <w:left w:val="single" w:sz="24" w:space="0" w:color="auto"/>
              <w:bottom w:val="single" w:sz="24" w:space="0" w:color="auto"/>
              <w:right w:val="single" w:sz="24" w:space="0" w:color="auto"/>
            </w:tcBorders>
          </w:tcPr>
          <w:p w:rsidR="00121456" w:rsidRPr="002B1123" w:rsidRDefault="00121456" w:rsidP="00893B13">
            <w:pPr>
              <w:jc w:val="right"/>
              <w:rPr>
                <w:b/>
              </w:rPr>
            </w:pPr>
            <w:r w:rsidRPr="002B1123">
              <w:rPr>
                <w:b/>
              </w:rPr>
              <w:t>474.400</w:t>
            </w:r>
          </w:p>
        </w:tc>
        <w:tc>
          <w:tcPr>
            <w:tcW w:w="2268" w:type="dxa"/>
            <w:tcBorders>
              <w:top w:val="single" w:sz="24" w:space="0" w:color="auto"/>
              <w:left w:val="single" w:sz="24" w:space="0" w:color="auto"/>
              <w:bottom w:val="single" w:sz="24" w:space="0" w:color="auto"/>
              <w:right w:val="single" w:sz="24" w:space="0" w:color="auto"/>
            </w:tcBorders>
          </w:tcPr>
          <w:p w:rsidR="00121456" w:rsidRPr="002B1123" w:rsidRDefault="00121456" w:rsidP="00893B13">
            <w:pPr>
              <w:jc w:val="right"/>
              <w:rPr>
                <w:b/>
              </w:rPr>
            </w:pPr>
            <w:r w:rsidRPr="002B1123">
              <w:rPr>
                <w:b/>
              </w:rPr>
              <w:t>571.992</w:t>
            </w:r>
          </w:p>
        </w:tc>
      </w:tr>
    </w:tbl>
    <w:p w:rsidR="00967F42" w:rsidRPr="008C13F2" w:rsidRDefault="00967F42" w:rsidP="008C13F2">
      <w:pPr>
        <w:spacing w:line="240" w:lineRule="auto"/>
        <w:jc w:val="both"/>
        <w:rPr>
          <w:rFonts w:ascii="Times New Roman" w:hAnsi="Times New Roman" w:cs="Times New Roman"/>
          <w:sz w:val="24"/>
          <w:szCs w:val="24"/>
        </w:rPr>
      </w:pPr>
    </w:p>
    <w:sectPr w:rsidR="00967F42" w:rsidRPr="008C13F2" w:rsidSect="00121456">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165" w:rsidRDefault="007E1165" w:rsidP="00125A64">
      <w:pPr>
        <w:spacing w:after="0" w:line="240" w:lineRule="auto"/>
      </w:pPr>
      <w:r>
        <w:separator/>
      </w:r>
    </w:p>
  </w:endnote>
  <w:endnote w:type="continuationSeparator" w:id="0">
    <w:p w:rsidR="007E1165" w:rsidRDefault="007E1165" w:rsidP="00125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6416"/>
      <w:docPartObj>
        <w:docPartGallery w:val="Page Numbers (Bottom of Page)"/>
        <w:docPartUnique/>
      </w:docPartObj>
    </w:sdtPr>
    <w:sdtContent>
      <w:p w:rsidR="000829C2" w:rsidRDefault="002C779D">
        <w:pPr>
          <w:pStyle w:val="llb"/>
          <w:jc w:val="center"/>
        </w:pPr>
        <w:fldSimple w:instr=" PAGE   \* MERGEFORMAT ">
          <w:r w:rsidR="00AB0BE4">
            <w:rPr>
              <w:noProof/>
            </w:rPr>
            <w:t>12</w:t>
          </w:r>
        </w:fldSimple>
      </w:p>
    </w:sdtContent>
  </w:sdt>
  <w:p w:rsidR="000829C2" w:rsidRDefault="000829C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165" w:rsidRDefault="007E1165" w:rsidP="00125A64">
      <w:pPr>
        <w:spacing w:after="0" w:line="240" w:lineRule="auto"/>
      </w:pPr>
      <w:r>
        <w:separator/>
      </w:r>
    </w:p>
  </w:footnote>
  <w:footnote w:type="continuationSeparator" w:id="0">
    <w:p w:rsidR="007E1165" w:rsidRDefault="007E1165" w:rsidP="00125A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6737"/>
    <w:multiLevelType w:val="hybridMultilevel"/>
    <w:tmpl w:val="5DBEAFA2"/>
    <w:lvl w:ilvl="0" w:tplc="201AD44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4D1444A"/>
    <w:multiLevelType w:val="hybridMultilevel"/>
    <w:tmpl w:val="3DFA17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254614A"/>
    <w:multiLevelType w:val="hybridMultilevel"/>
    <w:tmpl w:val="2B941A1C"/>
    <w:lvl w:ilvl="0" w:tplc="0408E6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683809AC"/>
    <w:multiLevelType w:val="hybridMultilevel"/>
    <w:tmpl w:val="9336E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EBE4C14"/>
    <w:multiLevelType w:val="hybridMultilevel"/>
    <w:tmpl w:val="C472C886"/>
    <w:lvl w:ilvl="0" w:tplc="20A81A00">
      <w:start w:val="200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71714BFC"/>
    <w:multiLevelType w:val="hybridMultilevel"/>
    <w:tmpl w:val="ADFE62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7F42"/>
    <w:rsid w:val="0000228C"/>
    <w:rsid w:val="000555B6"/>
    <w:rsid w:val="000829C2"/>
    <w:rsid w:val="000934EF"/>
    <w:rsid w:val="000C68E5"/>
    <w:rsid w:val="000E037B"/>
    <w:rsid w:val="00121456"/>
    <w:rsid w:val="00125A64"/>
    <w:rsid w:val="00172C41"/>
    <w:rsid w:val="001E5C7A"/>
    <w:rsid w:val="0023273B"/>
    <w:rsid w:val="00263E80"/>
    <w:rsid w:val="0029771E"/>
    <w:rsid w:val="002C779D"/>
    <w:rsid w:val="00360488"/>
    <w:rsid w:val="00415B8B"/>
    <w:rsid w:val="004E6EC7"/>
    <w:rsid w:val="00671540"/>
    <w:rsid w:val="00686DB2"/>
    <w:rsid w:val="006B0EE9"/>
    <w:rsid w:val="007E1165"/>
    <w:rsid w:val="00832DF8"/>
    <w:rsid w:val="0085769C"/>
    <w:rsid w:val="00882B5A"/>
    <w:rsid w:val="00893B13"/>
    <w:rsid w:val="008A1501"/>
    <w:rsid w:val="008C13F2"/>
    <w:rsid w:val="008F3EA3"/>
    <w:rsid w:val="00967F42"/>
    <w:rsid w:val="009718D5"/>
    <w:rsid w:val="009A3B87"/>
    <w:rsid w:val="009A5F78"/>
    <w:rsid w:val="009C5BE4"/>
    <w:rsid w:val="00A4750D"/>
    <w:rsid w:val="00A94D74"/>
    <w:rsid w:val="00AB0BE4"/>
    <w:rsid w:val="00AB0D0F"/>
    <w:rsid w:val="00B914D0"/>
    <w:rsid w:val="00C3366D"/>
    <w:rsid w:val="00C865CA"/>
    <w:rsid w:val="00D31E25"/>
    <w:rsid w:val="00D94CAE"/>
    <w:rsid w:val="00DF0952"/>
    <w:rsid w:val="00E2475A"/>
    <w:rsid w:val="00E2663C"/>
    <w:rsid w:val="00F84BC8"/>
    <w:rsid w:val="00F90A82"/>
    <w:rsid w:val="00FC0E6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048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C5BE4"/>
    <w:pPr>
      <w:ind w:left="720"/>
      <w:contextualSpacing/>
    </w:pPr>
  </w:style>
  <w:style w:type="paragraph" w:styleId="lfej">
    <w:name w:val="header"/>
    <w:basedOn w:val="Norml"/>
    <w:link w:val="lfejChar"/>
    <w:uiPriority w:val="99"/>
    <w:semiHidden/>
    <w:unhideWhenUsed/>
    <w:rsid w:val="00125A64"/>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125A64"/>
  </w:style>
  <w:style w:type="paragraph" w:styleId="llb">
    <w:name w:val="footer"/>
    <w:basedOn w:val="Norml"/>
    <w:link w:val="llbChar"/>
    <w:uiPriority w:val="99"/>
    <w:unhideWhenUsed/>
    <w:rsid w:val="00125A64"/>
    <w:pPr>
      <w:tabs>
        <w:tab w:val="center" w:pos="4536"/>
        <w:tab w:val="right" w:pos="9072"/>
      </w:tabs>
      <w:spacing w:after="0" w:line="240" w:lineRule="auto"/>
    </w:pPr>
  </w:style>
  <w:style w:type="character" w:customStyle="1" w:styleId="llbChar">
    <w:name w:val="Élőláb Char"/>
    <w:basedOn w:val="Bekezdsalapbettpusa"/>
    <w:link w:val="llb"/>
    <w:uiPriority w:val="99"/>
    <w:rsid w:val="00125A64"/>
  </w:style>
  <w:style w:type="paragraph" w:styleId="NormlWeb">
    <w:name w:val="Normal (Web)"/>
    <w:basedOn w:val="Norml"/>
    <w:uiPriority w:val="99"/>
    <w:unhideWhenUsed/>
    <w:rsid w:val="00E2475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1E5C7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5C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511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laci\Desktop\dia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plotArea>
      <c:layout/>
      <c:barChart>
        <c:barDir val="col"/>
        <c:grouping val="clustered"/>
        <c:ser>
          <c:idx val="0"/>
          <c:order val="0"/>
          <c:tx>
            <c:v>Terv</c:v>
          </c:tx>
          <c:spPr>
            <a:solidFill>
              <a:schemeClr val="accent6">
                <a:lumMod val="40000"/>
                <a:lumOff val="60000"/>
              </a:schemeClr>
            </a:solidFill>
          </c:spPr>
          <c:dLbls>
            <c:showVal val="1"/>
          </c:dLbls>
          <c:cat>
            <c:numRef>
              <c:f>Munka1!$F$10:$G$10</c:f>
              <c:numCache>
                <c:formatCode>General</c:formatCode>
                <c:ptCount val="2"/>
                <c:pt idx="0">
                  <c:v>2014</c:v>
                </c:pt>
                <c:pt idx="1">
                  <c:v>2015</c:v>
                </c:pt>
              </c:numCache>
            </c:numRef>
          </c:cat>
          <c:val>
            <c:numRef>
              <c:f>Munka1!$F$14:$F$15</c:f>
              <c:numCache>
                <c:formatCode>General</c:formatCode>
                <c:ptCount val="2"/>
                <c:pt idx="0">
                  <c:v>464700</c:v>
                </c:pt>
                <c:pt idx="1">
                  <c:v>474400</c:v>
                </c:pt>
              </c:numCache>
            </c:numRef>
          </c:val>
        </c:ser>
        <c:ser>
          <c:idx val="1"/>
          <c:order val="1"/>
          <c:tx>
            <c:v>Tény</c:v>
          </c:tx>
          <c:spPr>
            <a:solidFill>
              <a:schemeClr val="tx1">
                <a:lumMod val="65000"/>
                <a:lumOff val="35000"/>
              </a:schemeClr>
            </a:solidFill>
          </c:spPr>
          <c:dLbls>
            <c:showVal val="1"/>
          </c:dLbls>
          <c:cat>
            <c:numRef>
              <c:f>Munka1!$F$10:$G$10</c:f>
              <c:numCache>
                <c:formatCode>General</c:formatCode>
                <c:ptCount val="2"/>
                <c:pt idx="0">
                  <c:v>2014</c:v>
                </c:pt>
                <c:pt idx="1">
                  <c:v>2015</c:v>
                </c:pt>
              </c:numCache>
            </c:numRef>
          </c:cat>
          <c:val>
            <c:numRef>
              <c:f>Munka1!$G$14:$G$15</c:f>
              <c:numCache>
                <c:formatCode>General</c:formatCode>
                <c:ptCount val="2"/>
                <c:pt idx="0">
                  <c:v>483935</c:v>
                </c:pt>
                <c:pt idx="1">
                  <c:v>571992</c:v>
                </c:pt>
              </c:numCache>
            </c:numRef>
          </c:val>
        </c:ser>
        <c:axId val="134569344"/>
        <c:axId val="111809664"/>
      </c:barChart>
      <c:catAx>
        <c:axId val="134569344"/>
        <c:scaling>
          <c:orientation val="minMax"/>
        </c:scaling>
        <c:axPos val="b"/>
        <c:numFmt formatCode="General" sourceLinked="1"/>
        <c:tickLblPos val="nextTo"/>
        <c:crossAx val="111809664"/>
        <c:crosses val="autoZero"/>
        <c:auto val="1"/>
        <c:lblAlgn val="ctr"/>
        <c:lblOffset val="100"/>
      </c:catAx>
      <c:valAx>
        <c:axId val="111809664"/>
        <c:scaling>
          <c:orientation val="minMax"/>
        </c:scaling>
        <c:axPos val="l"/>
        <c:majorGridlines/>
        <c:numFmt formatCode="General" sourceLinked="1"/>
        <c:tickLblPos val="nextTo"/>
        <c:crossAx val="134569344"/>
        <c:crosses val="autoZero"/>
        <c:crossBetween val="between"/>
      </c:valAx>
      <c:spPr>
        <a:solidFill>
          <a:schemeClr val="bg2"/>
        </a:solidFill>
        <a:ln>
          <a:solidFill>
            <a:schemeClr val="tx1"/>
          </a:solidFill>
        </a:ln>
      </c:spPr>
    </c:plotArea>
    <c:legend>
      <c:legendPos val="r"/>
      <c:txPr>
        <a:bodyPr/>
        <a:lstStyle/>
        <a:p>
          <a:pPr>
            <a:defRPr sz="1400"/>
          </a:pPr>
          <a:endParaRPr lang="hu-HU"/>
        </a:p>
      </c:txPr>
    </c:legend>
    <c:plotVisOnly val="1"/>
  </c:chart>
  <c:spPr>
    <a:solidFill>
      <a:schemeClr val="accent6">
        <a:lumMod val="20000"/>
        <a:lumOff val="80000"/>
      </a:schemeClr>
    </a:solidFill>
    <a:ln w="12700">
      <a:solidFill>
        <a:sysClr val="windowText" lastClr="000000"/>
      </a:solidFill>
    </a:ln>
  </c:spPr>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88572-06D0-4D52-BF71-916429D3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3505</Words>
  <Characters>24185</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jlaci</dc:creator>
  <cp:lastModifiedBy>pedit</cp:lastModifiedBy>
  <cp:revision>3</cp:revision>
  <cp:lastPrinted>2016-01-22T09:17:00Z</cp:lastPrinted>
  <dcterms:created xsi:type="dcterms:W3CDTF">2016-01-22T09:15:00Z</dcterms:created>
  <dcterms:modified xsi:type="dcterms:W3CDTF">2016-01-22T09:17:00Z</dcterms:modified>
</cp:coreProperties>
</file>